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E9182">
      <w:pPr>
        <w:pStyle w:val="13"/>
        <w:ind w:left="0" w:leftChars="0" w:firstLine="0" w:firstLineChars="0"/>
        <w:jc w:val="center"/>
        <w:rPr>
          <w:rFonts w:asciiTheme="majorEastAsia" w:hAnsiTheme="majorEastAsia" w:eastAsiaTheme="majorEastAsia" w:cstheme="majorEastAsia"/>
          <w:sz w:val="44"/>
          <w:szCs w:val="44"/>
        </w:rPr>
      </w:pPr>
      <w:bookmarkStart w:id="0" w:name="_Toc49641542"/>
      <w:bookmarkStart w:id="1" w:name="_Toc16212"/>
      <w:bookmarkStart w:id="2" w:name="_Toc24100"/>
      <w:bookmarkStart w:id="3" w:name="_Toc49388851"/>
      <w:r>
        <w:rPr>
          <w:rFonts w:hint="eastAsia" w:asciiTheme="majorEastAsia" w:hAnsiTheme="majorEastAsia" w:eastAsiaTheme="majorEastAsia" w:cstheme="majorEastAsia"/>
          <w:sz w:val="44"/>
          <w:szCs w:val="44"/>
        </w:rPr>
        <w:t>郁南县妇幼保健院</w:t>
      </w:r>
      <w:r>
        <w:rPr>
          <w:rFonts w:hint="eastAsia" w:asciiTheme="majorEastAsia" w:hAnsiTheme="majorEastAsia" w:eastAsiaTheme="majorEastAsia" w:cstheme="majorEastAsia"/>
          <w:sz w:val="44"/>
          <w:szCs w:val="44"/>
          <w:lang w:eastAsia="zh-CN"/>
        </w:rPr>
        <w:t>安保</w:t>
      </w:r>
      <w:r>
        <w:rPr>
          <w:rFonts w:hint="eastAsia" w:asciiTheme="majorEastAsia" w:hAnsiTheme="majorEastAsia" w:eastAsiaTheme="majorEastAsia" w:cstheme="majorEastAsia"/>
          <w:sz w:val="44"/>
          <w:szCs w:val="44"/>
        </w:rPr>
        <w:t>服务需求书</w:t>
      </w:r>
    </w:p>
    <w:p w14:paraId="51BEF5C0">
      <w:pPr>
        <w:pStyle w:val="13"/>
      </w:pPr>
    </w:p>
    <w:p w14:paraId="4FFF1A07">
      <w:pPr>
        <w:pStyle w:val="13"/>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一、供应商资格</w:t>
      </w:r>
    </w:p>
    <w:p w14:paraId="1D0B7EF3">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bCs/>
          <w:color w:val="auto"/>
          <w:sz w:val="28"/>
          <w:szCs w:val="28"/>
          <w:highlight w:val="none"/>
        </w:rPr>
        <w:t>1</w:t>
      </w:r>
      <w:r>
        <w:rPr>
          <w:rFonts w:hint="eastAsia" w:ascii="仿宋_GB2312" w:eastAsia="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投标供应商应具备《政府采购法》第二十二条规定的条件，提供下列材料：</w:t>
      </w:r>
      <w:r>
        <w:rPr>
          <w:rFonts w:hint="eastAsia" w:ascii="仿宋_GB2312" w:hAnsi="仿宋_GB2312" w:eastAsia="仿宋_GB2312" w:cs="仿宋_GB2312"/>
          <w:b w:val="0"/>
          <w:bCs w:val="0"/>
          <w:color w:val="auto"/>
          <w:sz w:val="28"/>
          <w:szCs w:val="28"/>
          <w:highlight w:val="none"/>
        </w:rPr>
        <w:t xml:space="preserve"> </w:t>
      </w:r>
    </w:p>
    <w:p w14:paraId="0DED2097">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 </w:t>
      </w:r>
    </w:p>
    <w:p w14:paraId="155BD8CB">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（2）有依法缴纳税收和社会保障资金的良好记录：提供书面承诺声明函，格式自拟。 </w:t>
      </w:r>
    </w:p>
    <w:p w14:paraId="5AD5FDF3">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（3）具有良好的商业信誉和健全的财务会计制度：提供书面承诺声明函，格式自拟。 </w:t>
      </w:r>
    </w:p>
    <w:p w14:paraId="5AEA59E2">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（4）履行合同所必需的设备和专业技术能力：按投标（响应）文件格式填报履约服务及专业技术能力情况。 </w:t>
      </w:r>
    </w:p>
    <w:p w14:paraId="5772CE52">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（5）参加采购活动前3年内，在经营活动中没有重大违法记录：参照投标（报价）函相关承诺格式内容。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 </w:t>
      </w:r>
    </w:p>
    <w:p w14:paraId="5726F1D2">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6）信用记录：本项目供应商未被列入“信用中国”网站(www.creditchina.gov.cn)以下任何记录名单之一：①失信被执行人；②重大税收违法案件当事人名单；③政府采购严重违法失信行为（政府采购不良行为记录）。同时，不属于中国政府采购网(www.ccgp.gov.cn)“政府采购严重违法失信行为信息记录”中的禁止参加政府采购活动期间。【说明：①由资格性审查人员于投标截止日在“信用中国” 网站 （www.creditchina.gov.cn）及中国政府采购网(www.ccgp.gov.cn)查询结果为准，如在上述网站查询结果 均显示没有相关记录，视为不存在上述不良信用记录。②供应商为分支机构的，同时对该分支机构所属总公司（总所）进行信用记录查询，该分支机构所属总公司（总所）存在不良信用记录的，视同供应商存在不良信用记录。】 </w:t>
      </w:r>
    </w:p>
    <w:p w14:paraId="79EFAD01">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7）供应商必须符合法律、行政法规规定的其他条件：单位负责人为同一人或者存在直接控股、管理关系的不同供应商，不得同时参加本采购项目。为本项目提供规范编制或者项目管理、检测等服务的供应商，不得再参与本项目投标（响应）。投标（报价）函相关承诺要求内容。【提供《供应商资格声明函》】</w:t>
      </w:r>
    </w:p>
    <w:p w14:paraId="13941DCA">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（8）投标人必须在政府采购网的定点供应商名单内，否则投标无效。</w:t>
      </w:r>
    </w:p>
    <w:p w14:paraId="46100E2F">
      <w:pPr>
        <w:numPr>
          <w:ilvl w:val="0"/>
          <w:numId w:val="0"/>
        </w:numPr>
        <w:spacing w:before="101" w:line="383" w:lineRule="auto"/>
        <w:ind w:right="236" w:rightChars="0" w:firstLine="596" w:firstLineChars="200"/>
        <w:rPr>
          <w:rFonts w:hint="eastAsia" w:ascii="仿宋_GB2312" w:hAnsi="仿宋_GB2312" w:eastAsia="仿宋_GB2312" w:cs="仿宋_GB2312"/>
          <w:b w:val="0"/>
          <w:bCs w:val="0"/>
          <w:color w:val="auto"/>
          <w:sz w:val="28"/>
          <w:szCs w:val="28"/>
          <w:highlight w:val="none"/>
        </w:rPr>
      </w:pPr>
      <w:r>
        <w:rPr>
          <w:rFonts w:hint="eastAsia" w:hAnsi="仿宋_GB2312" w:cs="仿宋_GB2312"/>
          <w:spacing w:val="9"/>
          <w:sz w:val="28"/>
          <w:szCs w:val="28"/>
          <w:lang w:val="en-US" w:eastAsia="zh-CN"/>
        </w:rPr>
        <w:t>（9）</w:t>
      </w:r>
      <w:r>
        <w:rPr>
          <w:rFonts w:hint="eastAsia" w:ascii="仿宋_GB2312" w:hAnsi="仿宋_GB2312" w:eastAsia="仿宋_GB2312" w:cs="仿宋_GB2312"/>
          <w:spacing w:val="9"/>
          <w:sz w:val="28"/>
          <w:szCs w:val="28"/>
          <w:lang w:val="en-US" w:eastAsia="zh-CN"/>
        </w:rPr>
        <w:t>投标单位必须具有公安部门颁发的保安服务许可证（提供复印件加盖公章）</w:t>
      </w:r>
    </w:p>
    <w:p w14:paraId="1C5094FF">
      <w:pPr>
        <w:pStyle w:val="13"/>
        <w:ind w:firstLine="64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eastAsia="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本项目不接受联合体投标。【提供《承诺函》】</w:t>
      </w:r>
    </w:p>
    <w:p w14:paraId="406B42E1">
      <w:pPr>
        <w:pStyle w:val="13"/>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二、项目概况</w:t>
      </w:r>
    </w:p>
    <w:p w14:paraId="117E2589">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为了加强医院</w:t>
      </w:r>
      <w:r>
        <w:rPr>
          <w:rFonts w:hint="eastAsia" w:ascii="仿宋_GB2312" w:eastAsia="仿宋_GB2312" w:cs="仿宋_GB2312"/>
          <w:b w:val="0"/>
          <w:bCs w:val="0"/>
          <w:color w:val="auto"/>
          <w:sz w:val="28"/>
          <w:szCs w:val="28"/>
          <w:highlight w:val="none"/>
          <w:lang w:eastAsia="zh-CN"/>
        </w:rPr>
        <w:t>安保</w:t>
      </w:r>
      <w:r>
        <w:rPr>
          <w:rFonts w:hint="eastAsia" w:ascii="仿宋_GB2312" w:hAnsi="仿宋_GB2312" w:eastAsia="仿宋_GB2312" w:cs="仿宋_GB2312"/>
          <w:b w:val="0"/>
          <w:bCs w:val="0"/>
          <w:color w:val="auto"/>
          <w:sz w:val="28"/>
          <w:szCs w:val="28"/>
          <w:highlight w:val="none"/>
        </w:rPr>
        <w:t>服务工作，为患者提供更加整洁舒适的就医环境，决定对</w:t>
      </w:r>
      <w:r>
        <w:rPr>
          <w:rFonts w:hint="eastAsia" w:ascii="仿宋_GB2312" w:eastAsia="仿宋_GB2312" w:cs="仿宋_GB2312"/>
          <w:b w:val="0"/>
          <w:bCs w:val="0"/>
          <w:color w:val="auto"/>
          <w:sz w:val="28"/>
          <w:szCs w:val="28"/>
          <w:highlight w:val="none"/>
          <w:lang w:eastAsia="zh-CN"/>
        </w:rPr>
        <w:t>安保</w:t>
      </w:r>
      <w:r>
        <w:rPr>
          <w:rFonts w:hint="eastAsia" w:ascii="仿宋_GB2312" w:hAnsi="仿宋_GB2312" w:eastAsia="仿宋_GB2312" w:cs="仿宋_GB2312"/>
          <w:b w:val="0"/>
          <w:bCs w:val="0"/>
          <w:color w:val="auto"/>
          <w:sz w:val="28"/>
          <w:szCs w:val="28"/>
          <w:highlight w:val="none"/>
        </w:rPr>
        <w:t>服务实行社会化。根据我院的实际情况，通过院内比选方式选取一家专业服务公司。服务年限壹年，由中标方委派符合采购人要求的人员提供</w:t>
      </w:r>
      <w:r>
        <w:rPr>
          <w:rFonts w:hint="eastAsia" w:ascii="仿宋_GB2312" w:eastAsia="仿宋_GB2312" w:cs="仿宋_GB2312"/>
          <w:b w:val="0"/>
          <w:bCs w:val="0"/>
          <w:color w:val="auto"/>
          <w:sz w:val="28"/>
          <w:szCs w:val="28"/>
          <w:highlight w:val="none"/>
          <w:lang w:eastAsia="zh-CN"/>
        </w:rPr>
        <w:t>安保</w:t>
      </w:r>
      <w:r>
        <w:rPr>
          <w:rFonts w:hint="eastAsia" w:ascii="仿宋_GB2312" w:hAnsi="仿宋_GB2312" w:eastAsia="仿宋_GB2312" w:cs="仿宋_GB2312"/>
          <w:b w:val="0"/>
          <w:bCs w:val="0"/>
          <w:color w:val="auto"/>
          <w:sz w:val="28"/>
          <w:szCs w:val="28"/>
          <w:highlight w:val="none"/>
        </w:rPr>
        <w:t>服务</w:t>
      </w:r>
      <w:r>
        <w:rPr>
          <w:rFonts w:hint="eastAsia" w:ascii="仿宋_GB2312" w:eastAsia="仿宋_GB2312" w:cs="仿宋_GB2312"/>
          <w:b w:val="0"/>
          <w:bCs w:val="0"/>
          <w:color w:val="auto"/>
          <w:sz w:val="28"/>
          <w:szCs w:val="28"/>
          <w:highlight w:val="none"/>
          <w:lang w:eastAsia="zh-CN"/>
        </w:rPr>
        <w:t>，以及具体</w:t>
      </w:r>
      <w:r>
        <w:rPr>
          <w:rFonts w:hint="eastAsia" w:ascii="仿宋_GB2312" w:hAnsi="仿宋_GB2312" w:eastAsia="仿宋_GB2312" w:cs="仿宋_GB2312"/>
          <w:b w:val="0"/>
          <w:bCs w:val="0"/>
          <w:color w:val="auto"/>
          <w:sz w:val="28"/>
          <w:szCs w:val="28"/>
          <w:highlight w:val="none"/>
        </w:rPr>
        <w:t>服务内容、人员资质、工作要求等。</w:t>
      </w:r>
    </w:p>
    <w:p w14:paraId="47E32BAD">
      <w:pPr>
        <w:pStyle w:val="13"/>
        <w:numPr>
          <w:ilvl w:val="0"/>
          <w:numId w:val="0"/>
        </w:numPr>
        <w:ind w:firstLine="560" w:firstLineChars="20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kern w:val="2"/>
          <w:sz w:val="28"/>
          <w:szCs w:val="28"/>
          <w:lang w:val="en-US" w:eastAsia="zh-CN" w:bidi="ar-SA"/>
        </w:rPr>
        <w:t>三、</w:t>
      </w:r>
      <w:r>
        <w:rPr>
          <w:rFonts w:hint="eastAsia" w:ascii="黑体" w:hAnsi="黑体" w:eastAsia="黑体" w:cs="黑体"/>
          <w:b w:val="0"/>
          <w:bCs w:val="0"/>
          <w:color w:val="auto"/>
          <w:sz w:val="28"/>
          <w:szCs w:val="28"/>
          <w:highlight w:val="none"/>
        </w:rPr>
        <w:t>项目名称</w:t>
      </w:r>
    </w:p>
    <w:p w14:paraId="6E7669C1">
      <w:pPr>
        <w:pStyle w:val="13"/>
        <w:numPr>
          <w:ilvl w:val="0"/>
          <w:numId w:val="0"/>
        </w:numPr>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eastAsia="仿宋_GB2312" w:cs="仿宋_GB2312"/>
          <w:b w:val="0"/>
          <w:bCs w:val="0"/>
          <w:color w:val="auto"/>
          <w:sz w:val="28"/>
          <w:szCs w:val="28"/>
          <w:highlight w:val="none"/>
          <w:lang w:val="en-US" w:eastAsia="zh-CN"/>
        </w:rPr>
        <w:t>2026年</w:t>
      </w:r>
      <w:r>
        <w:rPr>
          <w:rFonts w:hint="eastAsia" w:ascii="仿宋_GB2312" w:hAnsi="仿宋_GB2312" w:eastAsia="仿宋_GB2312" w:cs="仿宋_GB2312"/>
          <w:b w:val="0"/>
          <w:bCs w:val="0"/>
          <w:color w:val="auto"/>
          <w:sz w:val="28"/>
          <w:szCs w:val="28"/>
          <w:highlight w:val="none"/>
        </w:rPr>
        <w:t>郁南县妇幼保健院</w:t>
      </w:r>
      <w:r>
        <w:rPr>
          <w:rFonts w:hint="eastAsia" w:ascii="仿宋_GB2312" w:eastAsia="仿宋_GB2312" w:cs="仿宋_GB2312"/>
          <w:b w:val="0"/>
          <w:bCs w:val="0"/>
          <w:color w:val="auto"/>
          <w:sz w:val="28"/>
          <w:szCs w:val="28"/>
          <w:highlight w:val="none"/>
          <w:lang w:eastAsia="zh-CN"/>
        </w:rPr>
        <w:t>安保</w:t>
      </w:r>
      <w:r>
        <w:rPr>
          <w:rFonts w:hint="eastAsia" w:ascii="仿宋_GB2312" w:hAnsi="仿宋_GB2312" w:eastAsia="仿宋_GB2312" w:cs="仿宋_GB2312"/>
          <w:b w:val="0"/>
          <w:bCs w:val="0"/>
          <w:color w:val="auto"/>
          <w:sz w:val="28"/>
          <w:szCs w:val="28"/>
          <w:highlight w:val="none"/>
        </w:rPr>
        <w:t>服务采购项目</w:t>
      </w:r>
    </w:p>
    <w:p w14:paraId="7DBA4B8E">
      <w:pPr>
        <w:pStyle w:val="13"/>
        <w:numPr>
          <w:ilvl w:val="0"/>
          <w:numId w:val="1"/>
        </w:numPr>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项目预算（元）</w:t>
      </w:r>
    </w:p>
    <w:p w14:paraId="3385EB0E">
      <w:pPr>
        <w:pStyle w:val="13"/>
        <w:numPr>
          <w:ilvl w:val="0"/>
          <w:numId w:val="0"/>
        </w:numPr>
        <w:ind w:firstLine="560" w:firstLineChars="200"/>
        <w:rPr>
          <w:rFonts w:hint="default" w:ascii="仿宋_GB2312" w:hAnsi="仿宋_GB2312" w:eastAsia="仿宋_GB2312" w:cs="仿宋_GB2312"/>
          <w:b w:val="0"/>
          <w:bCs w:val="0"/>
          <w:color w:val="auto"/>
          <w:sz w:val="28"/>
          <w:szCs w:val="28"/>
          <w:highlight w:val="none"/>
          <w:lang w:val="en-US"/>
        </w:rPr>
      </w:pPr>
      <w:r>
        <w:rPr>
          <w:rFonts w:hint="eastAsia" w:ascii="仿宋_GB2312" w:hAnsi="仿宋_GB2312" w:eastAsia="仿宋_GB2312" w:cs="仿宋_GB2312"/>
          <w:b w:val="0"/>
          <w:bCs w:val="0"/>
          <w:color w:val="auto"/>
          <w:sz w:val="28"/>
          <w:szCs w:val="28"/>
          <w:highlight w:val="none"/>
        </w:rPr>
        <w:t>大写：</w:t>
      </w:r>
      <w:r>
        <w:rPr>
          <w:rFonts w:hint="eastAsia" w:ascii="仿宋_GB2312" w:eastAsia="仿宋_GB2312" w:cs="仿宋_GB2312"/>
          <w:b w:val="0"/>
          <w:bCs w:val="0"/>
          <w:color w:val="auto"/>
          <w:sz w:val="28"/>
          <w:szCs w:val="28"/>
          <w:highlight w:val="none"/>
          <w:lang w:eastAsia="zh-CN"/>
        </w:rPr>
        <w:t>肆拾捌万陆仟元整</w:t>
      </w:r>
      <w:r>
        <w:rPr>
          <w:rFonts w:hint="eastAsia" w:ascii="仿宋_GB2312" w:hAnsi="仿宋_GB2312" w:eastAsia="仿宋_GB2312" w:cs="仿宋_GB2312"/>
          <w:b w:val="0"/>
          <w:bCs w:val="0"/>
          <w:color w:val="auto"/>
          <w:sz w:val="28"/>
          <w:szCs w:val="28"/>
          <w:highlight w:val="none"/>
        </w:rPr>
        <w:t>；小写：</w:t>
      </w:r>
      <w:r>
        <w:rPr>
          <w:rFonts w:hint="eastAsia" w:ascii="仿宋_GB2312" w:eastAsia="仿宋_GB2312" w:cs="仿宋_GB2312"/>
          <w:b w:val="0"/>
          <w:bCs w:val="0"/>
          <w:color w:val="auto"/>
          <w:kern w:val="0"/>
          <w:sz w:val="28"/>
          <w:szCs w:val="28"/>
          <w:highlight w:val="none"/>
          <w:lang w:val="en-US" w:eastAsia="zh-CN"/>
        </w:rPr>
        <w:t>486000元</w:t>
      </w:r>
    </w:p>
    <w:p w14:paraId="4C2CAF03">
      <w:pPr>
        <w:pStyle w:val="13"/>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五、采购项目服务内容及要求</w:t>
      </w:r>
    </w:p>
    <w:p w14:paraId="134E923B">
      <w:pPr>
        <w:pStyle w:val="13"/>
        <w:ind w:firstLine="640"/>
        <w:rPr>
          <w:rFonts w:hint="eastAsia" w:ascii="楷体_GB2312" w:hAnsi="楷体_GB2312" w:eastAsia="楷体_GB2312" w:cs="楷体_GB2312"/>
          <w:b w:val="0"/>
          <w:bCs w:val="0"/>
          <w:color w:val="auto"/>
          <w:sz w:val="28"/>
          <w:szCs w:val="28"/>
          <w:highlight w:val="none"/>
        </w:rPr>
      </w:pPr>
      <w:r>
        <w:rPr>
          <w:rFonts w:hint="eastAsia" w:ascii="楷体_GB2312" w:hAnsi="楷体_GB2312" w:eastAsia="楷体_GB2312" w:cs="楷体_GB2312"/>
          <w:b w:val="0"/>
          <w:bCs w:val="0"/>
          <w:color w:val="auto"/>
          <w:sz w:val="28"/>
          <w:szCs w:val="28"/>
          <w:highlight w:val="none"/>
        </w:rPr>
        <w:t>（一）采购项目一览表</w:t>
      </w:r>
    </w:p>
    <w:tbl>
      <w:tblPr>
        <w:tblStyle w:val="9"/>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4"/>
        <w:gridCol w:w="990"/>
        <w:gridCol w:w="2175"/>
        <w:gridCol w:w="3269"/>
      </w:tblGrid>
      <w:tr w14:paraId="72FF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874" w:type="dxa"/>
            <w:vAlign w:val="center"/>
          </w:tcPr>
          <w:p w14:paraId="56A255D2">
            <w:pPr>
              <w:snapToGrid w:val="0"/>
              <w:spacing w:line="360" w:lineRule="auto"/>
              <w:ind w:firstLine="3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名称</w:t>
            </w:r>
          </w:p>
        </w:tc>
        <w:tc>
          <w:tcPr>
            <w:tcW w:w="990" w:type="dxa"/>
            <w:vAlign w:val="center"/>
          </w:tcPr>
          <w:p w14:paraId="198D0CC7">
            <w:pPr>
              <w:snapToGrid w:val="0"/>
              <w:spacing w:line="360" w:lineRule="auto"/>
              <w:ind w:firstLine="0" w:firstLineChars="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数量</w:t>
            </w:r>
          </w:p>
        </w:tc>
        <w:tc>
          <w:tcPr>
            <w:tcW w:w="2175" w:type="dxa"/>
            <w:vAlign w:val="center"/>
          </w:tcPr>
          <w:p w14:paraId="521EECFE">
            <w:pPr>
              <w:snapToGrid w:val="0"/>
              <w:spacing w:line="360" w:lineRule="auto"/>
              <w:ind w:firstLine="3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服务期</w:t>
            </w:r>
          </w:p>
        </w:tc>
        <w:tc>
          <w:tcPr>
            <w:tcW w:w="3269" w:type="dxa"/>
            <w:vAlign w:val="center"/>
          </w:tcPr>
          <w:p w14:paraId="222566E0">
            <w:pPr>
              <w:snapToGrid w:val="0"/>
              <w:spacing w:line="360" w:lineRule="auto"/>
              <w:ind w:firstLine="0" w:firstLineChars="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项目预算（元）</w:t>
            </w:r>
          </w:p>
        </w:tc>
      </w:tr>
      <w:tr w14:paraId="113A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2874" w:type="dxa"/>
            <w:vAlign w:val="center"/>
          </w:tcPr>
          <w:p w14:paraId="0ED56D22">
            <w:pPr>
              <w:spacing w:line="36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郁南县妇幼保健院安保服务采购项目</w:t>
            </w:r>
          </w:p>
        </w:tc>
        <w:tc>
          <w:tcPr>
            <w:tcW w:w="990" w:type="dxa"/>
            <w:vAlign w:val="center"/>
          </w:tcPr>
          <w:p w14:paraId="3C6A6A8F">
            <w:pPr>
              <w:snapToGrid w:val="0"/>
              <w:spacing w:line="360" w:lineRule="auto"/>
              <w:ind w:firstLine="0" w:firstLineChars="0"/>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1项</w:t>
            </w:r>
          </w:p>
        </w:tc>
        <w:tc>
          <w:tcPr>
            <w:tcW w:w="2175" w:type="dxa"/>
            <w:vAlign w:val="center"/>
          </w:tcPr>
          <w:p w14:paraId="1B8FDF26">
            <w:pPr>
              <w:spacing w:line="360" w:lineRule="auto"/>
              <w:ind w:firstLine="0" w:firstLineChars="0"/>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自合同签订后</w:t>
            </w:r>
            <w:r>
              <w:rPr>
                <w:rFonts w:hint="eastAsia" w:hAnsi="仿宋_GB2312" w:cs="仿宋_GB2312"/>
                <w:color w:val="auto"/>
                <w:sz w:val="28"/>
                <w:szCs w:val="28"/>
                <w:highlight w:val="none"/>
                <w:lang w:eastAsia="zh-CN"/>
              </w:rPr>
              <w:t>贰</w:t>
            </w:r>
            <w:r>
              <w:rPr>
                <w:rFonts w:hint="eastAsia" w:ascii="仿宋_GB2312" w:hAnsi="仿宋_GB2312" w:eastAsia="仿宋_GB2312" w:cs="仿宋_GB2312"/>
                <w:color w:val="auto"/>
                <w:sz w:val="28"/>
                <w:szCs w:val="28"/>
                <w:highlight w:val="none"/>
              </w:rPr>
              <w:t>年内完成。</w:t>
            </w:r>
          </w:p>
        </w:tc>
        <w:tc>
          <w:tcPr>
            <w:tcW w:w="3269" w:type="dxa"/>
            <w:vAlign w:val="center"/>
          </w:tcPr>
          <w:p w14:paraId="5C63D44B">
            <w:pPr>
              <w:spacing w:line="360" w:lineRule="auto"/>
              <w:ind w:firstLine="0" w:firstLineChars="0"/>
              <w:jc w:val="left"/>
              <w:textAlignment w:val="baseline"/>
              <w:rPr>
                <w:rFonts w:hint="eastAsia" w:ascii="仿宋_GB2312" w:hAnsi="仿宋_GB2312" w:eastAsia="仿宋_GB2312" w:cs="仿宋_GB2312"/>
                <w:color w:val="auto"/>
                <w:kern w:val="0"/>
                <w:sz w:val="28"/>
                <w:szCs w:val="28"/>
                <w:highlight w:val="none"/>
              </w:rPr>
            </w:pPr>
          </w:p>
          <w:p w14:paraId="09912B93">
            <w:pPr>
              <w:spacing w:line="360" w:lineRule="auto"/>
              <w:ind w:firstLine="0" w:firstLineChars="0"/>
              <w:jc w:val="left"/>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大写：</w:t>
            </w:r>
          </w:p>
          <w:p w14:paraId="49B24168">
            <w:pPr>
              <w:pStyle w:val="13"/>
              <w:numPr>
                <w:ilvl w:val="0"/>
                <w:numId w:val="0"/>
              </w:numPr>
              <w:rPr>
                <w:rFonts w:hint="eastAsia" w:ascii="仿宋_GB2312" w:eastAsia="仿宋_GB2312" w:cs="仿宋_GB2312"/>
                <w:b w:val="0"/>
                <w:bCs w:val="0"/>
                <w:color w:val="auto"/>
                <w:sz w:val="28"/>
                <w:szCs w:val="28"/>
                <w:highlight w:val="none"/>
                <w:lang w:eastAsia="zh-CN"/>
              </w:rPr>
            </w:pPr>
            <w:r>
              <w:rPr>
                <w:rFonts w:hint="eastAsia" w:ascii="仿宋_GB2312" w:eastAsia="仿宋_GB2312" w:cs="仿宋_GB2312"/>
                <w:b w:val="0"/>
                <w:bCs w:val="0"/>
                <w:color w:val="auto"/>
                <w:sz w:val="28"/>
                <w:szCs w:val="28"/>
                <w:highlight w:val="none"/>
                <w:lang w:eastAsia="zh-CN"/>
              </w:rPr>
              <w:t>肆拾捌万陆仟元整</w:t>
            </w:r>
          </w:p>
          <w:p w14:paraId="61B453C4">
            <w:pPr>
              <w:pStyle w:val="13"/>
              <w:numPr>
                <w:ilvl w:val="0"/>
                <w:numId w:val="0"/>
              </w:numPr>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kern w:val="0"/>
                <w:sz w:val="28"/>
                <w:szCs w:val="28"/>
                <w:highlight w:val="none"/>
              </w:rPr>
              <w:t>小写：</w:t>
            </w:r>
            <w:r>
              <w:rPr>
                <w:rFonts w:hint="eastAsia" w:ascii="仿宋_GB2312" w:eastAsia="仿宋_GB2312" w:cs="仿宋_GB2312"/>
                <w:b w:val="0"/>
                <w:bCs w:val="0"/>
                <w:color w:val="auto"/>
                <w:kern w:val="0"/>
                <w:sz w:val="28"/>
                <w:szCs w:val="28"/>
                <w:highlight w:val="none"/>
                <w:lang w:val="en-US" w:eastAsia="zh-CN"/>
              </w:rPr>
              <w:t>486000元</w:t>
            </w:r>
          </w:p>
          <w:p w14:paraId="556E4A46">
            <w:pPr>
              <w:spacing w:line="360" w:lineRule="auto"/>
              <w:ind w:firstLine="0" w:firstLineChars="0"/>
              <w:jc w:val="left"/>
              <w:textAlignment w:val="baseline"/>
              <w:rPr>
                <w:rFonts w:hint="eastAsia" w:ascii="仿宋_GB2312" w:hAnsi="仿宋_GB2312" w:eastAsia="仿宋_GB2312" w:cs="仿宋_GB2312"/>
                <w:color w:val="auto"/>
                <w:sz w:val="28"/>
                <w:szCs w:val="28"/>
                <w:highlight w:val="none"/>
              </w:rPr>
            </w:pPr>
          </w:p>
        </w:tc>
      </w:tr>
    </w:tbl>
    <w:p w14:paraId="0E50F86C">
      <w:pPr>
        <w:pStyle w:val="16"/>
        <w:numPr>
          <w:ilvl w:val="0"/>
          <w:numId w:val="2"/>
        </w:numPr>
        <w:spacing w:beforeLines="0" w:afterLines="0" w:line="560" w:lineRule="exact"/>
        <w:ind w:firstLine="560" w:firstLineChars="200"/>
        <w:rPr>
          <w:rFonts w:hint="eastAsia" w:ascii="楷体_GB2312" w:hAnsi="楷体_GB2312" w:eastAsia="楷体_GB2312" w:cs="楷体_GB2312"/>
          <w:b w:val="0"/>
          <w:bCs w:val="0"/>
          <w:color w:val="auto"/>
          <w:sz w:val="28"/>
          <w:szCs w:val="28"/>
          <w:highlight w:val="none"/>
        </w:rPr>
      </w:pPr>
      <w:r>
        <w:rPr>
          <w:rFonts w:hint="eastAsia" w:ascii="楷体_GB2312" w:hAnsi="楷体_GB2312" w:eastAsia="楷体_GB2312" w:cs="楷体_GB2312"/>
          <w:b w:val="0"/>
          <w:bCs w:val="0"/>
          <w:color w:val="auto"/>
          <w:sz w:val="28"/>
          <w:szCs w:val="28"/>
          <w:highlight w:val="none"/>
        </w:rPr>
        <w:t>服务范围及总体要求</w:t>
      </w:r>
    </w:p>
    <w:p w14:paraId="6049B6DE">
      <w:pPr>
        <w:pStyle w:val="16"/>
        <w:numPr>
          <w:ilvl w:val="0"/>
          <w:numId w:val="0"/>
        </w:numPr>
        <w:spacing w:beforeLines="0" w:afterLines="0" w:line="56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秩序维护人员素质要求</w:t>
      </w:r>
    </w:p>
    <w:p w14:paraId="2C630F64">
      <w:pPr>
        <w:pStyle w:val="16"/>
        <w:numPr>
          <w:ilvl w:val="0"/>
          <w:numId w:val="0"/>
        </w:numPr>
        <w:spacing w:beforeLines="0" w:afterLines="0"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1）年龄18到55岁，</w:t>
      </w:r>
      <w:r>
        <w:rPr>
          <w:rFonts w:hint="eastAsia" w:ascii="仿宋_GB2312" w:hAnsi="仿宋_GB2312" w:eastAsia="仿宋_GB2312" w:cs="仿宋_GB2312"/>
          <w:b w:val="0"/>
          <w:bCs w:val="0"/>
          <w:color w:val="auto"/>
          <w:sz w:val="28"/>
          <w:szCs w:val="28"/>
          <w:highlight w:val="none"/>
        </w:rPr>
        <w:t>体检合格，身体健康</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退伍军人和持有保安证优先，需</w:t>
      </w:r>
      <w:r>
        <w:rPr>
          <w:rFonts w:hint="eastAsia" w:ascii="仿宋_GB2312" w:hAnsi="仿宋_GB2312" w:eastAsia="仿宋_GB2312" w:cs="仿宋_GB2312"/>
          <w:b w:val="0"/>
          <w:bCs w:val="0"/>
          <w:color w:val="auto"/>
          <w:sz w:val="28"/>
          <w:szCs w:val="28"/>
          <w:highlight w:val="none"/>
        </w:rPr>
        <w:t>要五人</w:t>
      </w:r>
      <w:r>
        <w:rPr>
          <w:rFonts w:hint="eastAsia" w:ascii="仿宋_GB2312" w:hAnsi="仿宋_GB2312" w:eastAsia="仿宋_GB2312" w:cs="仿宋_GB2312"/>
          <w:b w:val="0"/>
          <w:bCs w:val="0"/>
          <w:color w:val="auto"/>
          <w:sz w:val="28"/>
          <w:szCs w:val="28"/>
          <w:highlight w:val="none"/>
          <w:lang w:val="en-US" w:eastAsia="zh-CN"/>
        </w:rPr>
        <w:t>及</w:t>
      </w:r>
      <w:r>
        <w:rPr>
          <w:rFonts w:hint="eastAsia" w:ascii="仿宋_GB2312" w:hAnsi="仿宋_GB2312" w:eastAsia="仿宋_GB2312" w:cs="仿宋_GB2312"/>
          <w:b w:val="0"/>
          <w:bCs w:val="0"/>
          <w:color w:val="auto"/>
          <w:sz w:val="28"/>
          <w:szCs w:val="28"/>
          <w:highlight w:val="none"/>
        </w:rPr>
        <w:t>以上</w:t>
      </w:r>
      <w:r>
        <w:rPr>
          <w:rFonts w:hint="eastAsia" w:ascii="仿宋_GB2312" w:hAnsi="仿宋_GB2312" w:eastAsia="仿宋_GB2312" w:cs="仿宋_GB2312"/>
          <w:b w:val="0"/>
          <w:bCs w:val="0"/>
          <w:color w:val="auto"/>
          <w:sz w:val="28"/>
          <w:szCs w:val="28"/>
          <w:highlight w:val="none"/>
          <w:lang w:val="en-US" w:eastAsia="zh-CN"/>
        </w:rPr>
        <w:t>人员</w:t>
      </w:r>
      <w:r>
        <w:rPr>
          <w:rFonts w:hint="eastAsia" w:ascii="仿宋_GB2312" w:hAnsi="仿宋_GB2312" w:eastAsia="仿宋_GB2312" w:cs="仿宋_GB2312"/>
          <w:b w:val="0"/>
          <w:bCs w:val="0"/>
          <w:color w:val="auto"/>
          <w:sz w:val="28"/>
          <w:szCs w:val="28"/>
          <w:highlight w:val="none"/>
        </w:rPr>
        <w:t>持有消防证</w:t>
      </w:r>
      <w:r>
        <w:rPr>
          <w:rFonts w:hint="eastAsia" w:ascii="仿宋_GB2312" w:hAnsi="仿宋_GB2312" w:eastAsia="仿宋_GB2312" w:cs="仿宋_GB2312"/>
          <w:b w:val="0"/>
          <w:bCs w:val="0"/>
          <w:color w:val="auto"/>
          <w:sz w:val="28"/>
          <w:szCs w:val="28"/>
          <w:highlight w:val="none"/>
          <w:lang w:val="en-US" w:eastAsia="zh-CN"/>
        </w:rPr>
        <w:t>。（优先采用本院原有安保队伍原班人马）。</w:t>
      </w:r>
      <w:bookmarkStart w:id="6" w:name="_GoBack"/>
      <w:bookmarkEnd w:id="6"/>
    </w:p>
    <w:p w14:paraId="10CA3A2A">
      <w:pPr>
        <w:pStyle w:val="16"/>
        <w:numPr>
          <w:ilvl w:val="0"/>
          <w:numId w:val="0"/>
        </w:numPr>
        <w:spacing w:beforeLines="0" w:afterLines="0"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政审合格</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无不良嗜好和犯罪记录，责任心要强</w:t>
      </w:r>
      <w:r>
        <w:rPr>
          <w:rFonts w:hint="eastAsia" w:ascii="仿宋_GB2312" w:hAnsi="仿宋_GB2312" w:eastAsia="仿宋_GB2312" w:cs="仿宋_GB2312"/>
          <w:b w:val="0"/>
          <w:bCs w:val="0"/>
          <w:color w:val="auto"/>
          <w:sz w:val="28"/>
          <w:szCs w:val="28"/>
          <w:highlight w:val="none"/>
        </w:rPr>
        <w:t>；</w:t>
      </w:r>
    </w:p>
    <w:p w14:paraId="12BF7D05">
      <w:pPr>
        <w:pStyle w:val="16"/>
        <w:numPr>
          <w:ilvl w:val="0"/>
          <w:numId w:val="0"/>
        </w:numPr>
        <w:spacing w:beforeLines="0" w:afterLines="0"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3）</w:t>
      </w:r>
      <w:r>
        <w:rPr>
          <w:rFonts w:hint="eastAsia" w:ascii="仿宋_GB2312" w:hAnsi="仿宋_GB2312" w:eastAsia="仿宋_GB2312" w:cs="仿宋_GB2312"/>
          <w:b w:val="0"/>
          <w:bCs w:val="0"/>
          <w:color w:val="auto"/>
          <w:sz w:val="28"/>
          <w:szCs w:val="28"/>
          <w:highlight w:val="none"/>
        </w:rPr>
        <w:t>自觉遵守劳动规章制度；</w:t>
      </w:r>
    </w:p>
    <w:p w14:paraId="556046A2">
      <w:pPr>
        <w:pStyle w:val="16"/>
        <w:numPr>
          <w:ilvl w:val="0"/>
          <w:numId w:val="0"/>
        </w:numPr>
        <w:spacing w:beforeLines="0" w:afterLines="0"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b w:val="0"/>
          <w:bCs w:val="0"/>
          <w:color w:val="auto"/>
          <w:sz w:val="28"/>
          <w:szCs w:val="28"/>
          <w:highlight w:val="none"/>
        </w:rPr>
        <w:t>持有《保安员证》上岗。</w:t>
      </w:r>
    </w:p>
    <w:p w14:paraId="41C46142">
      <w:pPr>
        <w:pStyle w:val="16"/>
        <w:numPr>
          <w:ilvl w:val="0"/>
          <w:numId w:val="0"/>
        </w:numPr>
        <w:spacing w:beforeLines="0" w:afterLines="0"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5）</w:t>
      </w:r>
      <w:r>
        <w:rPr>
          <w:rFonts w:hint="eastAsia" w:ascii="仿宋_GB2312" w:hAnsi="仿宋_GB2312" w:eastAsia="仿宋_GB2312" w:cs="仿宋_GB2312"/>
          <w:b w:val="0"/>
          <w:bCs w:val="0"/>
          <w:color w:val="auto"/>
          <w:sz w:val="28"/>
          <w:szCs w:val="28"/>
          <w:highlight w:val="none"/>
        </w:rPr>
        <w:t>秩序维护人员需要协助消防控制室值班值守</w:t>
      </w:r>
      <w:r>
        <w:rPr>
          <w:rFonts w:hint="eastAsia" w:ascii="仿宋_GB2312" w:hAnsi="仿宋_GB2312" w:eastAsia="仿宋_GB2312" w:cs="仿宋_GB2312"/>
          <w:b w:val="0"/>
          <w:bCs w:val="0"/>
          <w:color w:val="auto"/>
          <w:sz w:val="28"/>
          <w:szCs w:val="28"/>
          <w:highlight w:val="none"/>
          <w:lang w:val="en-US" w:eastAsia="zh-CN"/>
        </w:rPr>
        <w:t>工作和院内、科室、楼层，每天定点签到和巡查，每月定期检查院内所有的消防栓水带，配件有没有缺失和签到卡签名。</w:t>
      </w:r>
    </w:p>
    <w:p w14:paraId="5B5C6694">
      <w:pPr>
        <w:pStyle w:val="16"/>
        <w:numPr>
          <w:ilvl w:val="0"/>
          <w:numId w:val="0"/>
        </w:numPr>
        <w:spacing w:beforeLines="0" w:afterLines="0" w:line="56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2</w:t>
      </w:r>
      <w:r>
        <w:rPr>
          <w:rFonts w:hint="eastAsia" w:ascii="仿宋_GB2312" w:hAnsi="仿宋_GB2312" w:eastAsia="仿宋_GB2312" w:cs="仿宋_GB2312"/>
          <w:b/>
          <w:bCs/>
          <w:color w:val="auto"/>
          <w:sz w:val="28"/>
          <w:szCs w:val="28"/>
          <w:highlight w:val="none"/>
        </w:rPr>
        <w:t>.秩序维护服务</w:t>
      </w:r>
    </w:p>
    <w:p w14:paraId="51DADA01">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（1）秩序维护范围为郁南县妇幼保健院所属范围内（包括医院大门、综合楼、保健楼、公卫楼等医院院内公共区域、停车场等区域）。</w:t>
      </w:r>
    </w:p>
    <w:p w14:paraId="40F09A59">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（2）组织一支高素质、业务能力强的保安队伍，确保整个医院</w:t>
      </w:r>
      <w:r>
        <w:rPr>
          <w:rFonts w:hint="eastAsia" w:ascii="仿宋_GB2312" w:hAnsi="仿宋_GB2312" w:eastAsia="仿宋_GB2312" w:cs="仿宋_GB2312"/>
          <w:color w:val="auto"/>
          <w:sz w:val="28"/>
          <w:szCs w:val="28"/>
          <w:highlight w:val="none"/>
          <w:lang w:val="en-US" w:eastAsia="zh-CN"/>
        </w:rPr>
        <w:t>医疗环境</w:t>
      </w:r>
      <w:r>
        <w:rPr>
          <w:rFonts w:hint="eastAsia" w:ascii="仿宋_GB2312" w:hAnsi="仿宋_GB2312" w:eastAsia="仿宋_GB2312" w:cs="仿宋_GB2312"/>
          <w:color w:val="auto"/>
          <w:sz w:val="28"/>
          <w:szCs w:val="28"/>
          <w:highlight w:val="none"/>
        </w:rPr>
        <w:t>的安全、有序。</w:t>
      </w:r>
    </w:p>
    <w:p w14:paraId="5481DC03">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（3）加强安全防范工作，保障医院合法权益不受侵犯。维护物业的公共秩序和就诊秩序，对进出医院人员进行安全检查、对医院内外周边安保范围、巡视、定岗定位执勤等。</w:t>
      </w:r>
    </w:p>
    <w:p w14:paraId="731A4EF7">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加大对综合楼、保健楼、公卫楼24小时巡逻、值班、检查力度，定岗值班。对门诊、急诊等重点部位科室进行巡查，发现问题及时协助处理并报请办公室处理。其他区域例行巡查、监控，对物业安全进行有效防范。</w:t>
      </w:r>
    </w:p>
    <w:p w14:paraId="6319278E">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（5）秩序维护值班员应严格遵守院内各项规章制度；爱惜医院财产，有损坏者，应照价赔偿；不得擅自使用医院的各类设备设施；不得擅自带医院的物资（材料）外出；不得请他人代岗。</w:t>
      </w:r>
    </w:p>
    <w:p w14:paraId="5C881ABC">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（6）负责管理区域内车辆进出登记、停放，疏通、维持交通秩序等管理。</w:t>
      </w:r>
    </w:p>
    <w:p w14:paraId="5250E743">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（7）对医院内出现医闹、争吵、身体接触等激烈行为，发现或遇到医务人员需要协助时要及时主动协助制止，防止事态进一步恶化，对情节严重的及时上报院方值班领导和有关职能部门（公安局</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派出所）处理。</w:t>
      </w:r>
    </w:p>
    <w:p w14:paraId="434C8633">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（8）组织应急小分队协助采购人有关部门妥善处理物业内发生的突发事件和火灾。遇有紧急、突发性重大事情，要及时报告。对违法行为应立即采取必要的</w:t>
      </w:r>
      <w:r>
        <w:rPr>
          <w:rFonts w:hint="eastAsia" w:ascii="仿宋_GB2312" w:hAnsi="仿宋_GB2312" w:eastAsia="仿宋_GB2312" w:cs="仿宋_GB2312"/>
          <w:color w:val="auto"/>
          <w:sz w:val="28"/>
          <w:szCs w:val="28"/>
          <w:highlight w:val="none"/>
          <w:lang w:eastAsia="zh-CN"/>
        </w:rPr>
        <w:t>阻挠</w:t>
      </w:r>
      <w:r>
        <w:rPr>
          <w:rFonts w:hint="eastAsia" w:ascii="仿宋_GB2312" w:hAnsi="仿宋_GB2312" w:eastAsia="仿宋_GB2312" w:cs="仿宋_GB2312"/>
          <w:color w:val="auto"/>
          <w:sz w:val="28"/>
          <w:szCs w:val="28"/>
          <w:highlight w:val="none"/>
        </w:rPr>
        <w:t>措施，并及时通知采购人有关部门以便解决突发事件，同时做好危险事件发生及处理情况的登记工作。对突发事件有应急处理程序和措施，一旦发现事件苗头，须果断采取措施，防止事态进一步恶化，协助保护现场，并立即报警处理，同时报告采购人有关部门。</w:t>
      </w:r>
    </w:p>
    <w:p w14:paraId="04A1500A">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（9）配合消防维保单位检查有关消防设施，协助处理突发事件（如：火灾、水灾、自然灾害、危害公共安全人为事件等）及其他事项。</w:t>
      </w:r>
    </w:p>
    <w:p w14:paraId="665FF728">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（10）协助妥善处理群众上访事件。</w:t>
      </w:r>
    </w:p>
    <w:p w14:paraId="3E326A72">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（11）协助采购人做好预防自然灾害防护工作，如台风、暴雨、火灾等事件的防范工作.对火灾、治安、公共卫生等突发事件有应急预案，事发时及时采取相应措施并报告采购人和有关部门。</w:t>
      </w:r>
    </w:p>
    <w:p w14:paraId="2D862AD3">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秩序维护采用技防、人技、物防结合的方式，引入智能化互联网技术，例如：慧物业综合智能服务平台、访客安全实时管理平台系统、人脸识别智能物业管理系统等有关服务系统的，提高现场服务品质及工作效率，加强对现场服务品质管控。</w:t>
      </w:r>
    </w:p>
    <w:p w14:paraId="50C89AFE">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（13）收集、整理与物业安全服务相关的资料，每月向有关职能部门汇报（后勤组）。</w:t>
      </w:r>
    </w:p>
    <w:p w14:paraId="00FB81EC">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（14）配合采购人完成一些重大活动的组织工作和临时指派一些零星工作。</w:t>
      </w:r>
    </w:p>
    <w:p w14:paraId="76F50D75">
      <w:pPr>
        <w:pStyle w:val="15"/>
        <w:spacing w:line="360" w:lineRule="auto"/>
        <w:ind w:left="102" w:leftChars="32" w:firstLine="396" w:firstLineChars="141"/>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.交通、停车场管理</w:t>
      </w:r>
    </w:p>
    <w:p w14:paraId="4085CD60">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（1）交通、停车场管理要指定专人负责，要制定可行的管理制度。所需的服务人员配置包含在安全防范的秩序维护人员中。</w:t>
      </w:r>
    </w:p>
    <w:p w14:paraId="03B1B729">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（2）要有车辆行驶、停放识别标记，保证车辆停放标识线的清晰度，每年刷漆一次（材料由采购人提供）。</w:t>
      </w:r>
    </w:p>
    <w:p w14:paraId="092C96F6">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（3）自行车、机动车等各种车辆停放有序，有专人指引按规定存放指定车位，对进出医院的车辆实施有效管理，做到车辆停放规范、整齐、分类、安全。</w:t>
      </w:r>
    </w:p>
    <w:p w14:paraId="6B43DDAD">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（4）车辆停放应当建立登记制度，严防被盗被毁事件发生。</w:t>
      </w:r>
    </w:p>
    <w:p w14:paraId="525F4180">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（5）每天至少对车场、车辆巡视4次，检查车辆窗门是否关好，是否有漏油等情况并做好记录。</w:t>
      </w:r>
    </w:p>
    <w:p w14:paraId="2E63C496">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（6）对停车场和物业辖内发生的车辆事故及交通设施损坏应及时保护现场，妥善处理并报告，协助采购人做好善后处理工作。</w:t>
      </w:r>
    </w:p>
    <w:p w14:paraId="37AEC326">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（7）不得将工程车（抢险救灾车辆除外）、易燃易爆等车辆放进医院。</w:t>
      </w:r>
    </w:p>
    <w:p w14:paraId="074923BA">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（8）其它与交通、停车场</w:t>
      </w:r>
      <w:r>
        <w:rPr>
          <w:rFonts w:hint="eastAsia" w:ascii="仿宋_GB2312" w:hAnsi="仿宋_GB2312" w:eastAsia="仿宋_GB2312" w:cs="仿宋_GB2312"/>
          <w:color w:val="auto"/>
          <w:kern w:val="0"/>
          <w:sz w:val="28"/>
          <w:szCs w:val="28"/>
          <w:highlight w:val="none"/>
          <w:lang w:val="en-US" w:eastAsia="zh-CN"/>
        </w:rPr>
        <w:t>管理</w:t>
      </w:r>
      <w:r>
        <w:rPr>
          <w:rFonts w:hint="eastAsia" w:ascii="仿宋_GB2312" w:hAnsi="仿宋_GB2312" w:eastAsia="仿宋_GB2312" w:cs="仿宋_GB2312"/>
          <w:color w:val="auto"/>
          <w:kern w:val="0"/>
          <w:sz w:val="28"/>
          <w:szCs w:val="28"/>
          <w:highlight w:val="none"/>
        </w:rPr>
        <w:t>有关的事项。</w:t>
      </w:r>
    </w:p>
    <w:p w14:paraId="52EC2303">
      <w:pPr>
        <w:spacing w:line="360" w:lineRule="auto"/>
        <w:ind w:firstLine="562" w:firstLineChars="200"/>
        <w:jc w:val="left"/>
        <w:rPr>
          <w:rFonts w:hint="eastAsia" w:ascii="仿宋_GB2312" w:hAnsi="仿宋_GB2312" w:eastAsia="仿宋_GB2312" w:cs="仿宋_GB2312"/>
          <w:b/>
          <w:bCs/>
          <w:color w:val="auto"/>
          <w:sz w:val="28"/>
          <w:szCs w:val="28"/>
          <w:highlight w:val="none"/>
        </w:rPr>
      </w:pPr>
      <w:r>
        <w:rPr>
          <w:rFonts w:hint="eastAsia" w:hAnsi="仿宋_GB2312" w:cs="仿宋_GB2312"/>
          <w:b/>
          <w:bCs/>
          <w:color w:val="auto"/>
          <w:sz w:val="28"/>
          <w:szCs w:val="28"/>
          <w:highlight w:val="none"/>
          <w:lang w:val="en-US" w:eastAsia="zh-CN"/>
        </w:rPr>
        <w:t>4</w:t>
      </w:r>
      <w:r>
        <w:rPr>
          <w:rFonts w:hint="eastAsia" w:ascii="仿宋_GB2312" w:hAnsi="仿宋_GB2312" w:eastAsia="仿宋_GB2312" w:cs="仿宋_GB2312"/>
          <w:b/>
          <w:bCs/>
          <w:color w:val="auto"/>
          <w:sz w:val="28"/>
          <w:szCs w:val="28"/>
          <w:highlight w:val="none"/>
        </w:rPr>
        <w:t>.保安人员岗位职责</w:t>
      </w:r>
    </w:p>
    <w:p w14:paraId="674CC8CE">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门卫是医院安全的第一道防线，门卫人员也是医院形象的代表，应具有良好的素质与修养，并认真履行以下岗位职责：</w:t>
      </w:r>
    </w:p>
    <w:p w14:paraId="73316E92">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（1）严格执行交接班制度。按时交接班，不迟到、不早退；不能误岗、漏岗；严格执行请销假制度。白天交接班时，双方应交接有关情况和物品。</w:t>
      </w:r>
    </w:p>
    <w:p w14:paraId="58E050EA">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（2）安保人员与消防控制室人员严格落实值班值守工作，安保人员与消防控制室人员每天对院内、科室、院内各楼层巡查和签到（每2小时巡查一次）。</w:t>
      </w:r>
    </w:p>
    <w:p w14:paraId="250F22CC">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严格执行门卫制度，注意个人卫生，勤洗手、勤洗澡；举止文明，不得随地吐痰，乱丢杂物。不得在医院内吸烟。应统一着装、佩戴规定装备，扎好腰带、领带，佩戴工作证，着装整洁。不得披衣、敞怀、挽袖、卷裤腿戴歪帽、穿拖鞋、或赤脚，穿黑色皮鞋。不得蓄留长发，不留长指甲，不得染发、烫发，不得纹身，不得佩戴饰物、不戴墨镜，保持良好的精神状态。</w:t>
      </w:r>
    </w:p>
    <w:p w14:paraId="24B52584">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（4）严格禁止宠物进入医院。 </w:t>
      </w:r>
    </w:p>
    <w:p w14:paraId="4B13FF31">
      <w:pPr>
        <w:spacing w:line="360" w:lineRule="auto"/>
        <w:ind w:firstLine="560" w:firstLineChars="200"/>
        <w:jc w:val="left"/>
        <w:rPr>
          <w:rFonts w:hint="eastAsia" w:hAnsi="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（5）禁止未经医院相关部门许可的考察学习团队在我院拍照</w:t>
      </w:r>
      <w:r>
        <w:rPr>
          <w:rFonts w:hint="eastAsia" w:hAnsi="仿宋_GB2312" w:cs="仿宋_GB2312"/>
          <w:color w:val="auto"/>
          <w:sz w:val="28"/>
          <w:szCs w:val="28"/>
          <w:highlight w:val="none"/>
          <w:lang w:eastAsia="zh-CN"/>
        </w:rPr>
        <w:t>。</w:t>
      </w:r>
    </w:p>
    <w:p w14:paraId="40511675">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（6）严厉禁止医托及其他不法分子在我院活动。 </w:t>
      </w:r>
    </w:p>
    <w:p w14:paraId="680EF969">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（7）谢绝</w:t>
      </w:r>
      <w:r>
        <w:rPr>
          <w:rFonts w:hint="eastAsia" w:hAnsi="仿宋_GB2312" w:cs="仿宋_GB2312"/>
          <w:color w:val="auto"/>
          <w:sz w:val="28"/>
          <w:szCs w:val="28"/>
          <w:highlight w:val="none"/>
          <w:lang w:val="en-US" w:eastAsia="zh-CN"/>
        </w:rPr>
        <w:t>有</w:t>
      </w:r>
      <w:r>
        <w:rPr>
          <w:rFonts w:hint="eastAsia" w:ascii="仿宋_GB2312" w:hAnsi="仿宋_GB2312" w:eastAsia="仿宋_GB2312" w:cs="仿宋_GB2312"/>
          <w:color w:val="auto"/>
          <w:sz w:val="28"/>
          <w:szCs w:val="28"/>
          <w:highlight w:val="none"/>
        </w:rPr>
        <w:t>明显精神病患者、酗酒闹事者、收破烂、乞讨者、推销商品者进入医院。 </w:t>
      </w:r>
    </w:p>
    <w:p w14:paraId="7CFDD945">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（8）加强自身修养，坚持文明值班，礼貌待人，文明执勤；注意语言文明，不得污言秽语；注意行为举止，遇事冷静。对不服从管理的人员，应耐心解释、说明，不得用不文明的方式对待任何人。</w:t>
      </w:r>
    </w:p>
    <w:p w14:paraId="24D57283">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非节假日及下班休息时间一律实行站岗，严禁坐岗串岗行为。在岗时站姿端正，抬头挺胸，不弯腰驼背，不东倒西歪、前依后靠；坐姿端正，不左摇右摆。不得勾肩搭背、不得伸懒腰、不袖手、背手、叉腰或将手插入衣袋；在岗时不得喝酒、吸烟、吃零食、用餐、看书报、听广播，不准哼歌曲、吹哨，不得从事其他与工作无关的事情。</w:t>
      </w:r>
    </w:p>
    <w:p w14:paraId="3C868BD5">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（10）接听值班电话时，态度要和蔼，语气要亲切。</w:t>
      </w:r>
    </w:p>
    <w:p w14:paraId="18963F17">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（11）坚守岗位，不得擅离职守，不得擅自带人进入医院各科室诊疗服务工作场所，不做与工作无关的事情，时刻注意进出医院的人员及值班室周围的情况。</w:t>
      </w:r>
    </w:p>
    <w:p w14:paraId="60DFB859">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（12）门卫值班室为工作场所，不允许与工作无关的人员进入值班室闲坐、聊天。</w:t>
      </w:r>
    </w:p>
    <w:p w14:paraId="2EE06802">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（13）接收报纸、邮件，应认真核对，妥善保管，防止丢失或损坏。</w:t>
      </w:r>
    </w:p>
    <w:p w14:paraId="0C8A47EE">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（14）保持值班室内外清洁，发现垃圾或丢弃物应及时清扫。交班前，整理好室内物品。</w:t>
      </w:r>
    </w:p>
    <w:p w14:paraId="243D7784">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（15）上岗时要认真检查设备设施，认真做好防盗工作，发现不安全因素立即报告医院后勤组，及时查明情况，排除险情，不得影响工作。</w:t>
      </w:r>
    </w:p>
    <w:p w14:paraId="65E7979F">
      <w:pPr>
        <w:spacing w:line="360" w:lineRule="auto"/>
        <w:ind w:left="0" w:leftChars="0" w:firstLine="560" w:firstLineChars="200"/>
        <w:jc w:val="left"/>
        <w:rPr>
          <w:rFonts w:hint="eastAsia" w:hAnsi="仿宋_GB2312" w:cs="仿宋_GB2312"/>
          <w:color w:val="auto"/>
          <w:sz w:val="28"/>
          <w:szCs w:val="28"/>
          <w:highlight w:val="none"/>
          <w:lang w:eastAsia="zh-CN"/>
        </w:rPr>
      </w:pPr>
      <w:r>
        <w:rPr>
          <w:rFonts w:hint="eastAsia" w:hAnsi="仿宋_GB2312" w:cs="仿宋_GB2312"/>
          <w:color w:val="auto"/>
          <w:sz w:val="28"/>
          <w:szCs w:val="28"/>
          <w:highlight w:val="none"/>
          <w:lang w:eastAsia="zh-CN"/>
        </w:rPr>
        <w:t>（</w:t>
      </w:r>
      <w:r>
        <w:rPr>
          <w:rFonts w:hint="eastAsia" w:hAnsi="仿宋_GB2312" w:cs="仿宋_GB2312"/>
          <w:color w:val="auto"/>
          <w:sz w:val="28"/>
          <w:szCs w:val="28"/>
          <w:highlight w:val="none"/>
          <w:lang w:val="en-US" w:eastAsia="zh-CN"/>
        </w:rPr>
        <w:t>16</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认真记录值班时发生和处理的各种情况以及接听的重要电话，及时报告有关领导。交班时，应将重要事项向交班人交代清楚</w:t>
      </w:r>
      <w:r>
        <w:rPr>
          <w:rFonts w:hint="eastAsia" w:hAnsi="仿宋_GB2312" w:cs="仿宋_GB2312"/>
          <w:color w:val="auto"/>
          <w:sz w:val="28"/>
          <w:szCs w:val="28"/>
          <w:highlight w:val="none"/>
          <w:lang w:eastAsia="zh-CN"/>
        </w:rPr>
        <w:t>。</w:t>
      </w:r>
    </w:p>
    <w:p w14:paraId="78ED717D">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（17）服从医院后勤部门的管理、调配，配合医院后勤等有关部门处理突发事件。遇有紧急、突发性重大事情，要及时报告。</w:t>
      </w:r>
    </w:p>
    <w:p w14:paraId="1E28B31F">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18）在执勤工作中进行安全巡视检查时，发现患者或家属情绪激动等过激行为时，应及时主动进行制止，采取有效措施防止事态扩大；发现医闹事件要及时向后勤等相关部门报告，并采取相关措施防止事态进一步恶化。</w:t>
      </w:r>
    </w:p>
    <w:p w14:paraId="085C5A6C">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（19）巡查各科室下班后是否关闭门窗，是否遵守医院用电、用水的有关规定，以防止消防或其他意外事件发生（发现有异常情况应及时向医院后勤组报告）。对每天检查情况做好登记备案。</w:t>
      </w:r>
    </w:p>
    <w:p w14:paraId="44EEA01A">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（20）加强对院领导办公区域、机房、档案库等重点部位的安全防范。未经批准，不得在以上区域内照相、录音和录像，不得泄露有关人员的电话、车牌号码等资料。</w:t>
      </w:r>
    </w:p>
    <w:p w14:paraId="3B7E9220">
      <w:pPr>
        <w:spacing w:line="360" w:lineRule="auto"/>
        <w:ind w:firstLine="562" w:firstLineChars="200"/>
        <w:jc w:val="left"/>
        <w:rPr>
          <w:rFonts w:hint="eastAsia" w:ascii="仿宋_GB2312" w:hAnsi="仿宋_GB2312" w:eastAsia="仿宋_GB2312" w:cs="仿宋_GB2312"/>
          <w:b/>
          <w:color w:val="auto"/>
          <w:sz w:val="28"/>
          <w:szCs w:val="28"/>
          <w:highlight w:val="none"/>
        </w:rPr>
      </w:pPr>
      <w:r>
        <w:rPr>
          <w:rFonts w:hint="eastAsia" w:hAnsi="仿宋_GB2312" w:cs="仿宋_GB2312"/>
          <w:b/>
          <w:color w:val="auto"/>
          <w:sz w:val="28"/>
          <w:szCs w:val="28"/>
          <w:highlight w:val="none"/>
          <w:lang w:val="en-US" w:eastAsia="zh-CN"/>
        </w:rPr>
        <w:t>5</w:t>
      </w:r>
      <w:r>
        <w:rPr>
          <w:rFonts w:hint="eastAsia" w:ascii="仿宋_GB2312" w:hAnsi="仿宋_GB2312" w:eastAsia="仿宋_GB2312" w:cs="仿宋_GB2312"/>
          <w:b/>
          <w:color w:val="auto"/>
          <w:sz w:val="28"/>
          <w:szCs w:val="28"/>
          <w:highlight w:val="none"/>
        </w:rPr>
        <w:t>.消防值班人员岗位职责</w:t>
      </w:r>
    </w:p>
    <w:p w14:paraId="3FCCB23A">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消防控制室保安人员负责对郁南县妇幼保健院所属范围区域（以下简称全院）各种消防控制设备的运行情况监视，并认真履行以下岗位职责：</w:t>
      </w:r>
    </w:p>
    <w:p w14:paraId="36D2499D">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（1）消防控制室值班人员对火灾报警器进行日检查和交接班，应当填写《消防控制室值班记录表》，每班换班巡查记录一次消防控制室内消防设备的运行情况、及时记录消防设施的火警及故障情况。</w:t>
      </w:r>
    </w:p>
    <w:p w14:paraId="62D7F3F8">
      <w:pPr>
        <w:spacing w:line="360" w:lineRule="auto"/>
        <w:ind w:firstLine="560" w:firstLineChars="200"/>
        <w:jc w:val="left"/>
        <w:rPr>
          <w:rFonts w:hint="eastAsia" w:ascii="仿宋_GB2312" w:hAnsi="仿宋_GB2312" w:eastAsia="仿宋_GB2312" w:cs="仿宋_GB2312"/>
          <w:iCs/>
          <w:color w:val="auto"/>
          <w:sz w:val="28"/>
          <w:szCs w:val="28"/>
          <w:highlight w:val="none"/>
        </w:rPr>
      </w:pPr>
      <w:r>
        <w:rPr>
          <w:rFonts w:hint="eastAsia" w:ascii="仿宋_GB2312" w:hAnsi="仿宋_GB2312" w:eastAsia="仿宋_GB2312" w:cs="仿宋_GB2312"/>
          <w:iCs/>
          <w:color w:val="auto"/>
          <w:sz w:val="28"/>
          <w:szCs w:val="28"/>
          <w:highlight w:val="none"/>
        </w:rPr>
        <w:t>（2）提高思想觉悟，消防值班人员为消防第一责任人，消防值班人员严格执行公共建筑消防管理规定和工作程序，对消防监控报警、干式灭火（气体）、湿式灭火（喷淋）、防排烟及消防栓五个系统的作用、位置和操作方法熟练掌握，管理员每半年组织一次消防演练。</w:t>
      </w:r>
    </w:p>
    <w:p w14:paraId="08370B08">
      <w:pPr>
        <w:spacing w:line="360" w:lineRule="auto"/>
        <w:ind w:firstLine="560" w:firstLineChars="200"/>
        <w:jc w:val="left"/>
        <w:rPr>
          <w:rFonts w:hint="eastAsia" w:ascii="仿宋_GB2312" w:hAnsi="仿宋_GB2312" w:eastAsia="仿宋_GB2312" w:cs="仿宋_GB2312"/>
          <w:iCs/>
          <w:color w:val="auto"/>
          <w:sz w:val="28"/>
          <w:szCs w:val="28"/>
          <w:highlight w:val="none"/>
        </w:rPr>
      </w:pPr>
      <w:r>
        <w:rPr>
          <w:rFonts w:hint="eastAsia" w:ascii="仿宋_GB2312" w:hAnsi="仿宋_GB2312" w:eastAsia="仿宋_GB2312" w:cs="仿宋_GB2312"/>
          <w:iCs/>
          <w:color w:val="auto"/>
          <w:sz w:val="28"/>
          <w:szCs w:val="28"/>
          <w:highlight w:val="none"/>
        </w:rPr>
        <w:t>（3）每月对全院进行一次全部消防设备、设施巡视检查工作，并做好记录，</w:t>
      </w:r>
      <w:r>
        <w:rPr>
          <w:rFonts w:hint="eastAsia" w:ascii="仿宋_GB2312" w:hAnsi="仿宋_GB2312" w:eastAsia="仿宋_GB2312" w:cs="仿宋_GB2312"/>
          <w:color w:val="auto"/>
          <w:sz w:val="28"/>
          <w:szCs w:val="28"/>
          <w:highlight w:val="none"/>
        </w:rPr>
        <w:t>定期上交院方存档。</w:t>
      </w:r>
      <w:r>
        <w:rPr>
          <w:rFonts w:hint="eastAsia" w:ascii="仿宋_GB2312" w:hAnsi="仿宋_GB2312" w:eastAsia="仿宋_GB2312" w:cs="仿宋_GB2312"/>
          <w:iCs/>
          <w:color w:val="auto"/>
          <w:sz w:val="28"/>
          <w:szCs w:val="28"/>
          <w:highlight w:val="none"/>
        </w:rPr>
        <w:t>及时整改火险隐患，随时监控动火和易燃易爆用品存放情况，保持消防区及楼梯走道和出口畅通。重大节日前配合采购人进行节日消防安全大检查，并按采购人要求及时进行整改</w:t>
      </w:r>
      <w:r>
        <w:rPr>
          <w:rFonts w:hint="eastAsia" w:ascii="仿宋_GB2312" w:hAnsi="仿宋_GB2312" w:eastAsia="仿宋_GB2312" w:cs="仿宋_GB2312"/>
          <w:color w:val="auto"/>
          <w:sz w:val="28"/>
          <w:szCs w:val="28"/>
          <w:highlight w:val="none"/>
        </w:rPr>
        <w:t>。</w:t>
      </w:r>
    </w:p>
    <w:p w14:paraId="339EA57F">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Cs/>
          <w:color w:val="auto"/>
          <w:sz w:val="28"/>
          <w:szCs w:val="28"/>
          <w:highlight w:val="none"/>
        </w:rPr>
        <w:t>（4）消防值班人员必须实时观察视频监控系统各画面情况，</w:t>
      </w:r>
      <w:r>
        <w:rPr>
          <w:rFonts w:hint="eastAsia" w:hAnsi="仿宋_GB2312" w:cs="仿宋_GB2312"/>
          <w:iCs/>
          <w:color w:val="auto"/>
          <w:sz w:val="28"/>
          <w:szCs w:val="28"/>
          <w:highlight w:val="none"/>
          <w:lang w:val="en-US" w:eastAsia="zh-CN"/>
        </w:rPr>
        <w:t>如</w:t>
      </w:r>
      <w:r>
        <w:rPr>
          <w:rFonts w:hint="eastAsia" w:ascii="仿宋_GB2312" w:hAnsi="仿宋_GB2312" w:eastAsia="仿宋_GB2312" w:cs="仿宋_GB2312"/>
          <w:iCs/>
          <w:color w:val="auto"/>
          <w:sz w:val="28"/>
          <w:szCs w:val="28"/>
          <w:highlight w:val="none"/>
        </w:rPr>
        <w:t>发现可疑人员、病人跌倒、伤医事件、火警、监控损坏等异常情况，及时报告相关部门处理。</w:t>
      </w:r>
    </w:p>
    <w:p w14:paraId="41790E49">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（5）每日进行防火检查，及时消除火灾隐患并建立巡查记录。 </w:t>
      </w:r>
    </w:p>
    <w:p w14:paraId="42D7894E">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（6）保安、消防值班人员每天实行晨会交接班，要求有晨会记录及交接班记录资料</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提交院方后勤组归档。 </w:t>
      </w:r>
    </w:p>
    <w:p w14:paraId="7C731B9F">
      <w:pPr>
        <w:ind w:firstLine="321"/>
        <w:rPr>
          <w:rFonts w:hint="eastAsia" w:ascii="仿宋_GB2312" w:hAnsi="仿宋_GB2312" w:eastAsia="仿宋_GB2312" w:cs="仿宋_GB2312"/>
          <w:b/>
          <w:bCs w:val="0"/>
          <w:color w:val="auto"/>
          <w:sz w:val="28"/>
          <w:szCs w:val="28"/>
          <w:highlight w:val="none"/>
        </w:rPr>
      </w:pPr>
      <w:r>
        <w:rPr>
          <w:rFonts w:hint="eastAsia" w:hAnsi="仿宋_GB2312" w:cs="仿宋_GB2312"/>
          <w:b/>
          <w:bCs w:val="0"/>
          <w:color w:val="auto"/>
          <w:sz w:val="28"/>
          <w:szCs w:val="28"/>
          <w:highlight w:val="none"/>
          <w:lang w:eastAsia="zh-CN"/>
        </w:rPr>
        <w:t>（三）</w:t>
      </w:r>
      <w:r>
        <w:rPr>
          <w:rFonts w:hint="eastAsia" w:ascii="仿宋_GB2312" w:hAnsi="仿宋_GB2312" w:eastAsia="仿宋_GB2312" w:cs="仿宋_GB2312"/>
          <w:b/>
          <w:bCs w:val="0"/>
          <w:color w:val="auto"/>
          <w:sz w:val="28"/>
          <w:szCs w:val="28"/>
          <w:highlight w:val="none"/>
        </w:rPr>
        <w:t>人员配置及要求</w:t>
      </w:r>
    </w:p>
    <w:tbl>
      <w:tblPr>
        <w:tblStyle w:val="10"/>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5282"/>
        <w:gridCol w:w="882"/>
        <w:gridCol w:w="1827"/>
      </w:tblGrid>
      <w:tr w14:paraId="4277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730DB9AE">
            <w:pPr>
              <w:pStyle w:val="3"/>
              <w:spacing w:before="0"/>
              <w:jc w:val="both"/>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岗位</w:t>
            </w:r>
          </w:p>
        </w:tc>
        <w:tc>
          <w:tcPr>
            <w:tcW w:w="5282" w:type="dxa"/>
            <w:tcBorders>
              <w:top w:val="single" w:color="auto" w:sz="4" w:space="0"/>
              <w:left w:val="single" w:color="auto" w:sz="4" w:space="0"/>
              <w:bottom w:val="single" w:color="auto" w:sz="4" w:space="0"/>
              <w:right w:val="single" w:color="auto" w:sz="4" w:space="0"/>
            </w:tcBorders>
            <w:vAlign w:val="center"/>
          </w:tcPr>
          <w:p w14:paraId="5486011D">
            <w:pPr>
              <w:pStyle w:val="3"/>
              <w:spacing w:before="0"/>
              <w:ind w:firstLine="211"/>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工作区域（内容）</w:t>
            </w:r>
          </w:p>
        </w:tc>
        <w:tc>
          <w:tcPr>
            <w:tcW w:w="882" w:type="dxa"/>
            <w:tcBorders>
              <w:top w:val="single" w:color="auto" w:sz="4" w:space="0"/>
              <w:left w:val="single" w:color="auto" w:sz="4" w:space="0"/>
              <w:bottom w:val="single" w:color="auto" w:sz="4" w:space="0"/>
              <w:right w:val="single" w:color="auto" w:sz="4" w:space="0"/>
            </w:tcBorders>
            <w:vAlign w:val="center"/>
          </w:tcPr>
          <w:p w14:paraId="0219B65D">
            <w:pPr>
              <w:pStyle w:val="3"/>
              <w:spacing w:before="0"/>
              <w:ind w:left="0" w:leftChars="0" w:firstLine="0" w:firstLineChars="0"/>
              <w:jc w:val="both"/>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人数</w:t>
            </w:r>
          </w:p>
        </w:tc>
        <w:tc>
          <w:tcPr>
            <w:tcW w:w="1827" w:type="dxa"/>
            <w:tcBorders>
              <w:top w:val="single" w:color="auto" w:sz="4" w:space="0"/>
              <w:left w:val="single" w:color="auto" w:sz="4" w:space="0"/>
              <w:bottom w:val="single" w:color="auto" w:sz="4" w:space="0"/>
              <w:right w:val="single" w:color="auto" w:sz="4" w:space="0"/>
            </w:tcBorders>
            <w:vAlign w:val="center"/>
          </w:tcPr>
          <w:p w14:paraId="430EA642">
            <w:pPr>
              <w:pStyle w:val="3"/>
              <w:spacing w:before="0"/>
              <w:ind w:firstLine="211"/>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备注</w:t>
            </w:r>
          </w:p>
        </w:tc>
      </w:tr>
      <w:tr w14:paraId="52C1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04B4A24C">
            <w:pPr>
              <w:pStyle w:val="3"/>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保安员</w:t>
            </w:r>
          </w:p>
        </w:tc>
        <w:tc>
          <w:tcPr>
            <w:tcW w:w="5282" w:type="dxa"/>
            <w:tcBorders>
              <w:top w:val="single" w:color="auto" w:sz="4" w:space="0"/>
              <w:left w:val="single" w:color="auto" w:sz="4" w:space="0"/>
              <w:bottom w:val="single" w:color="auto" w:sz="4" w:space="0"/>
              <w:right w:val="single" w:color="auto" w:sz="4" w:space="0"/>
            </w:tcBorders>
            <w:vAlign w:val="center"/>
          </w:tcPr>
          <w:p w14:paraId="5E5F20C1">
            <w:pPr>
              <w:pStyle w:val="3"/>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负责全院保卫安全、消防巡查、车辆管理</w:t>
            </w:r>
          </w:p>
        </w:tc>
        <w:tc>
          <w:tcPr>
            <w:tcW w:w="882" w:type="dxa"/>
            <w:tcBorders>
              <w:top w:val="single" w:color="auto" w:sz="4" w:space="0"/>
              <w:left w:val="single" w:color="auto" w:sz="4" w:space="0"/>
              <w:bottom w:val="single" w:color="auto" w:sz="4" w:space="0"/>
              <w:right w:val="single" w:color="auto" w:sz="4" w:space="0"/>
            </w:tcBorders>
            <w:vAlign w:val="center"/>
          </w:tcPr>
          <w:p w14:paraId="11FCD820">
            <w:pPr>
              <w:pStyle w:val="3"/>
              <w:spacing w:before="0"/>
              <w:ind w:left="0" w:leftChars="0" w:firstLine="0" w:firstLineChars="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1827" w:type="dxa"/>
            <w:tcBorders>
              <w:top w:val="single" w:color="auto" w:sz="4" w:space="0"/>
              <w:left w:val="single" w:color="auto" w:sz="4" w:space="0"/>
              <w:bottom w:val="single" w:color="auto" w:sz="4" w:space="0"/>
              <w:right w:val="single" w:color="auto" w:sz="4" w:space="0"/>
            </w:tcBorders>
            <w:vAlign w:val="center"/>
          </w:tcPr>
          <w:p w14:paraId="10A6F06F">
            <w:pPr>
              <w:pStyle w:val="3"/>
              <w:spacing w:before="0"/>
              <w:ind w:left="0" w:leftChars="0" w:firstLine="0" w:firstLineChars="0"/>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24小时轮岗</w:t>
            </w:r>
          </w:p>
        </w:tc>
      </w:tr>
    </w:tbl>
    <w:p w14:paraId="5DB6D717">
      <w:pPr>
        <w:spacing w:line="360" w:lineRule="auto"/>
        <w:ind w:left="0" w:leftChars="0" w:firstLine="560" w:firstLineChars="200"/>
        <w:rPr>
          <w:rFonts w:hint="eastAsia"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以上要求为我院全面开展业务需求人数，若医院业务增减按表中人数增减；并按中标价人均费用增减。</w:t>
      </w:r>
    </w:p>
    <w:p w14:paraId="7D2BAFBA">
      <w:pPr>
        <w:spacing w:line="360" w:lineRule="auto"/>
        <w:ind w:left="0" w:leftChars="0" w:firstLine="562" w:firstLineChars="200"/>
        <w:rPr>
          <w:rFonts w:hint="eastAsia" w:ascii="仿宋_GB2312" w:hAnsi="仿宋_GB2312" w:eastAsia="仿宋_GB2312" w:cs="仿宋_GB2312"/>
          <w:b/>
          <w:bCs w:val="0"/>
          <w:color w:val="auto"/>
          <w:sz w:val="28"/>
          <w:szCs w:val="28"/>
          <w:highlight w:val="none"/>
          <w:lang w:eastAsia="zh-CN"/>
        </w:rPr>
      </w:pPr>
      <w:r>
        <w:rPr>
          <w:rFonts w:hint="eastAsia" w:ascii="仿宋_GB2312" w:hAnsi="仿宋_GB2312" w:eastAsia="仿宋_GB2312" w:cs="仿宋_GB2312"/>
          <w:b/>
          <w:bCs w:val="0"/>
          <w:color w:val="auto"/>
          <w:sz w:val="28"/>
          <w:szCs w:val="28"/>
          <w:highlight w:val="none"/>
        </w:rPr>
        <w:t>（四）服务人员要求及考核扣罚</w:t>
      </w:r>
    </w:p>
    <w:p w14:paraId="120419FE">
      <w:pPr>
        <w:pStyle w:val="13"/>
        <w:rPr>
          <w:rFonts w:hint="eastAsia" w:ascii="仿宋_GB2312" w:hAnsi="仿宋_GB2312" w:eastAsia="仿宋_GB2312" w:cs="仿宋_GB2312"/>
          <w:b/>
          <w:bCs w:val="0"/>
          <w:color w:val="auto"/>
          <w:sz w:val="28"/>
          <w:szCs w:val="28"/>
          <w:highlight w:val="none"/>
          <w:lang w:val="en-US" w:eastAsia="zh-CN"/>
        </w:rPr>
      </w:pPr>
      <w:r>
        <w:rPr>
          <w:rFonts w:hint="eastAsia" w:ascii="仿宋_GB2312" w:eastAsia="仿宋_GB2312" w:cs="仿宋_GB2312"/>
          <w:b/>
          <w:bCs w:val="0"/>
          <w:color w:val="auto"/>
          <w:sz w:val="28"/>
          <w:szCs w:val="28"/>
          <w:highlight w:val="none"/>
          <w:lang w:val="en-US" w:eastAsia="zh-CN"/>
        </w:rPr>
        <w:t>1.</w:t>
      </w:r>
      <w:r>
        <w:rPr>
          <w:rFonts w:hint="eastAsia" w:ascii="仿宋_GB2312" w:hAnsi="仿宋_GB2312" w:eastAsia="仿宋_GB2312" w:cs="仿宋_GB2312"/>
          <w:b/>
          <w:bCs w:val="0"/>
          <w:color w:val="auto"/>
          <w:sz w:val="28"/>
          <w:szCs w:val="28"/>
          <w:highlight w:val="none"/>
        </w:rPr>
        <w:t>安保</w:t>
      </w:r>
      <w:bookmarkEnd w:id="0"/>
      <w:bookmarkEnd w:id="1"/>
      <w:bookmarkEnd w:id="2"/>
      <w:bookmarkEnd w:id="3"/>
      <w:bookmarkStart w:id="4" w:name="_Toc49641543"/>
      <w:bookmarkStart w:id="5" w:name="_Toc49385389"/>
      <w:r>
        <w:rPr>
          <w:rFonts w:hint="eastAsia" w:ascii="仿宋_GB2312" w:hAnsi="仿宋_GB2312" w:eastAsia="仿宋_GB2312" w:cs="仿宋_GB2312"/>
          <w:b/>
          <w:bCs w:val="0"/>
          <w:color w:val="auto"/>
          <w:sz w:val="28"/>
          <w:szCs w:val="28"/>
          <w:highlight w:val="none"/>
        </w:rPr>
        <w:t>人员资质要求</w:t>
      </w:r>
      <w:r>
        <w:rPr>
          <w:rFonts w:hint="eastAsia" w:ascii="仿宋_GB2312" w:eastAsia="仿宋_GB2312" w:cs="仿宋_GB2312"/>
          <w:b/>
          <w:bCs w:val="0"/>
          <w:color w:val="auto"/>
          <w:sz w:val="28"/>
          <w:szCs w:val="28"/>
          <w:highlight w:val="none"/>
          <w:lang w:val="en-US" w:eastAsia="zh-CN"/>
        </w:rPr>
        <w:t>和</w:t>
      </w:r>
      <w:r>
        <w:rPr>
          <w:rFonts w:hint="eastAsia" w:ascii="仿宋_GB2312" w:hAnsi="仿宋_GB2312" w:eastAsia="仿宋_GB2312" w:cs="仿宋_GB2312"/>
          <w:b/>
          <w:bCs w:val="0"/>
          <w:color w:val="auto"/>
          <w:sz w:val="28"/>
          <w:szCs w:val="28"/>
          <w:highlight w:val="none"/>
        </w:rPr>
        <w:t>考核</w:t>
      </w:r>
    </w:p>
    <w:p w14:paraId="440A42AC">
      <w:pPr>
        <w:pStyle w:val="15"/>
        <w:ind w:left="0" w:leftChars="0"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安保人员资质要求：男，年龄18到58岁，身高163</w:t>
      </w:r>
      <w:r>
        <w:rPr>
          <w:rFonts w:hint="eastAsia" w:ascii="仿宋_GB2312" w:hAnsi="仿宋_GB2312" w:eastAsia="仿宋_GB2312" w:cs="仿宋_GB2312"/>
          <w:b w:val="0"/>
          <w:bCs w:val="0"/>
          <w:color w:val="auto"/>
          <w:sz w:val="28"/>
          <w:szCs w:val="28"/>
          <w:highlight w:val="none"/>
          <w:lang w:val="en-US" w:eastAsia="zh-CN"/>
        </w:rPr>
        <w:t>cm</w:t>
      </w:r>
      <w:r>
        <w:rPr>
          <w:rFonts w:hint="eastAsia" w:ascii="仿宋_GB2312" w:hAnsi="仿宋_GB2312" w:eastAsia="仿宋_GB2312" w:cs="仿宋_GB2312"/>
          <w:b w:val="0"/>
          <w:bCs w:val="0"/>
          <w:color w:val="auto"/>
          <w:sz w:val="28"/>
          <w:szCs w:val="28"/>
          <w:highlight w:val="none"/>
        </w:rPr>
        <w:t>以上，上岗前必须进行体检，体检合格方可上岗，身体健康，退伍军人优先；所有人员</w:t>
      </w:r>
      <w:r>
        <w:rPr>
          <w:rFonts w:hint="eastAsia" w:ascii="仿宋_GB2312" w:hAnsi="仿宋_GB2312" w:eastAsia="仿宋_GB2312" w:cs="仿宋_GB2312"/>
          <w:b w:val="0"/>
          <w:bCs w:val="0"/>
          <w:color w:val="auto"/>
          <w:sz w:val="28"/>
          <w:szCs w:val="28"/>
          <w:highlight w:val="none"/>
          <w:lang w:eastAsia="zh-CN"/>
        </w:rPr>
        <w:t>必须</w:t>
      </w:r>
      <w:r>
        <w:rPr>
          <w:rFonts w:hint="eastAsia" w:ascii="仿宋_GB2312" w:hAnsi="仿宋_GB2312" w:eastAsia="仿宋_GB2312" w:cs="仿宋_GB2312"/>
          <w:b w:val="0"/>
          <w:bCs w:val="0"/>
          <w:color w:val="auto"/>
          <w:sz w:val="28"/>
          <w:szCs w:val="28"/>
          <w:highlight w:val="none"/>
        </w:rPr>
        <w:t>持《保安员证》上岗，无不良嗜好和犯罪记录，责任心要强。</w:t>
      </w:r>
    </w:p>
    <w:p w14:paraId="5911F499">
      <w:pPr>
        <w:pStyle w:val="15"/>
        <w:ind w:left="0" w:leftChars="0" w:firstLine="562"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▲安保人员中至少有三人具备有建筑消防职业技术操作证（最底初级），投标人出具承诺函并加盖公章。中标人未能按要求提供具有建筑消防职业技术操作证的每人每月扣减1200元。</w:t>
      </w:r>
    </w:p>
    <w:bookmarkEnd w:id="4"/>
    <w:bookmarkEnd w:id="5"/>
    <w:p w14:paraId="6A0C3592">
      <w:pPr>
        <w:pStyle w:val="13"/>
        <w:rPr>
          <w:rFonts w:hint="eastAsia" w:ascii="仿宋_GB2312" w:hAnsi="仿宋_GB2312" w:eastAsia="仿宋_GB2312" w:cs="仿宋_GB2312"/>
          <w:b w:val="0"/>
          <w:bCs w:val="0"/>
          <w:color w:val="auto"/>
          <w:sz w:val="28"/>
          <w:szCs w:val="28"/>
          <w:highlight w:val="none"/>
        </w:rPr>
      </w:pPr>
      <w:r>
        <w:rPr>
          <w:rFonts w:hint="eastAsia" w:asci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服务质量考核</w:t>
      </w:r>
    </w:p>
    <w:p w14:paraId="09F99B9B">
      <w:pPr>
        <w:pStyle w:val="13"/>
        <w:ind w:firstLine="6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根据服务质量和工作要求，由各部门负责人会对当月服务质量进行检查考核，考核成绩和考核具体情况与服务费挂钩。总分为10分，每发现一项不合格扣0.1分。</w:t>
      </w:r>
    </w:p>
    <w:p w14:paraId="32475B08">
      <w:pPr>
        <w:pStyle w:val="13"/>
        <w:ind w:firstLine="640"/>
        <w:rPr>
          <w:rFonts w:hint="eastAsia" w:ascii="仿宋_GB2312" w:hAnsi="仿宋_GB2312" w:eastAsia="仿宋_GB2312" w:cs="仿宋_GB2312"/>
          <w:color w:val="auto"/>
          <w:sz w:val="28"/>
          <w:szCs w:val="28"/>
          <w:highlight w:val="none"/>
        </w:rPr>
      </w:pPr>
    </w:p>
    <w:p w14:paraId="76B10E1A">
      <w:pPr>
        <w:pStyle w:val="13"/>
        <w:ind w:firstLine="640"/>
        <w:rPr>
          <w:rFonts w:hint="eastAsia" w:ascii="仿宋_GB2312" w:hAnsi="仿宋_GB2312" w:eastAsia="仿宋_GB2312" w:cs="仿宋_GB2312"/>
          <w:color w:val="auto"/>
          <w:sz w:val="28"/>
          <w:szCs w:val="28"/>
          <w:highlight w:val="none"/>
        </w:rPr>
      </w:pPr>
    </w:p>
    <w:p w14:paraId="093B5BC0">
      <w:pPr>
        <w:pStyle w:val="14"/>
        <w:spacing w:line="560" w:lineRule="exact"/>
        <w:jc w:val="center"/>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安保服务质量考评标准及评分扣罚表</w:t>
      </w:r>
    </w:p>
    <w:tbl>
      <w:tblPr>
        <w:tblStyle w:val="9"/>
        <w:tblW w:w="47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867"/>
        <w:gridCol w:w="3733"/>
        <w:gridCol w:w="1484"/>
        <w:gridCol w:w="1536"/>
      </w:tblGrid>
      <w:tr w14:paraId="40E2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jc w:val="center"/>
        </w:trPr>
        <w:tc>
          <w:tcPr>
            <w:tcW w:w="486" w:type="pct"/>
            <w:noWrap/>
            <w:vAlign w:val="center"/>
          </w:tcPr>
          <w:p w14:paraId="3F1388B0">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序号</w:t>
            </w:r>
          </w:p>
        </w:tc>
        <w:tc>
          <w:tcPr>
            <w:tcW w:w="513" w:type="pct"/>
            <w:noWrap/>
            <w:vAlign w:val="center"/>
          </w:tcPr>
          <w:p w14:paraId="3637A490">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项目</w:t>
            </w:r>
          </w:p>
        </w:tc>
        <w:tc>
          <w:tcPr>
            <w:tcW w:w="2211" w:type="pct"/>
            <w:noWrap/>
            <w:vAlign w:val="center"/>
          </w:tcPr>
          <w:p w14:paraId="0B184CB2">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质量标准</w:t>
            </w:r>
          </w:p>
        </w:tc>
        <w:tc>
          <w:tcPr>
            <w:tcW w:w="878" w:type="pct"/>
            <w:noWrap/>
            <w:vAlign w:val="center"/>
          </w:tcPr>
          <w:p w14:paraId="4D25E4DE">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评价方式</w:t>
            </w:r>
          </w:p>
        </w:tc>
        <w:tc>
          <w:tcPr>
            <w:tcW w:w="910" w:type="pct"/>
            <w:noWrap/>
            <w:vAlign w:val="center"/>
          </w:tcPr>
          <w:p w14:paraId="07B38E49">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扣分标准</w:t>
            </w:r>
          </w:p>
        </w:tc>
      </w:tr>
      <w:tr w14:paraId="2939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486" w:type="pct"/>
            <w:noWrap/>
            <w:vAlign w:val="center"/>
          </w:tcPr>
          <w:p w14:paraId="44C670BC">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p>
        </w:tc>
        <w:tc>
          <w:tcPr>
            <w:tcW w:w="513" w:type="pct"/>
            <w:noWrap/>
            <w:vAlign w:val="center"/>
          </w:tcPr>
          <w:p w14:paraId="0566CA2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着装 </w:t>
            </w:r>
          </w:p>
        </w:tc>
        <w:tc>
          <w:tcPr>
            <w:tcW w:w="2211" w:type="pct"/>
            <w:noWrap/>
            <w:vAlign w:val="center"/>
          </w:tcPr>
          <w:p w14:paraId="1D7F500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上岗工作人员工作时要着工作服，着装要整洁、大方得体；严禁</w:t>
            </w:r>
            <w:r>
              <w:rPr>
                <w:rFonts w:hint="eastAsia" w:cs="仿宋_GB2312"/>
                <w:color w:val="auto"/>
                <w:sz w:val="28"/>
                <w:szCs w:val="28"/>
                <w:highlight w:val="none"/>
                <w:lang w:val="en-US" w:eastAsia="zh-CN"/>
              </w:rPr>
              <w:t>穿</w:t>
            </w:r>
            <w:r>
              <w:rPr>
                <w:rFonts w:hint="eastAsia" w:ascii="仿宋_GB2312" w:hAnsi="仿宋_GB2312" w:eastAsia="仿宋_GB2312" w:cs="仿宋_GB2312"/>
                <w:color w:val="auto"/>
                <w:sz w:val="28"/>
                <w:szCs w:val="28"/>
                <w:highlight w:val="none"/>
              </w:rPr>
              <w:t>拖鞋、赤膊、衣冠不整等拖沓和不文明行为。岗位通讯、防护等工具佩戴</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私用物品的佩戴</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不得影响统一形象。</w:t>
            </w:r>
          </w:p>
        </w:tc>
        <w:tc>
          <w:tcPr>
            <w:tcW w:w="878" w:type="pct"/>
            <w:noWrap/>
            <w:vAlign w:val="center"/>
          </w:tcPr>
          <w:p w14:paraId="2865A02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tcBorders>
              <w:bottom w:val="single" w:color="auto" w:sz="4" w:space="0"/>
            </w:tcBorders>
            <w:noWrap/>
            <w:vAlign w:val="center"/>
          </w:tcPr>
          <w:p w14:paraId="405B08C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485B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486" w:type="pct"/>
            <w:noWrap/>
            <w:vAlign w:val="center"/>
          </w:tcPr>
          <w:p w14:paraId="4B8F6C52">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p>
        </w:tc>
        <w:tc>
          <w:tcPr>
            <w:tcW w:w="513" w:type="pct"/>
            <w:noWrap/>
            <w:vAlign w:val="center"/>
          </w:tcPr>
          <w:p w14:paraId="618F2E9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礼仪</w:t>
            </w:r>
          </w:p>
        </w:tc>
        <w:tc>
          <w:tcPr>
            <w:tcW w:w="2211" w:type="pct"/>
            <w:noWrap/>
            <w:vAlign w:val="center"/>
          </w:tcPr>
          <w:p w14:paraId="18F5562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言行举止规范、服务意识到位、作风严谨、执勤文明、训练有素、认真负责。</w:t>
            </w:r>
          </w:p>
        </w:tc>
        <w:tc>
          <w:tcPr>
            <w:tcW w:w="878" w:type="pct"/>
            <w:noWrap/>
          </w:tcPr>
          <w:p w14:paraId="6913A54C">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tcBorders>
              <w:bottom w:val="single" w:color="auto" w:sz="4" w:space="0"/>
            </w:tcBorders>
            <w:noWrap/>
            <w:vAlign w:val="center"/>
          </w:tcPr>
          <w:p w14:paraId="1A6EB12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3B7E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86" w:type="pct"/>
            <w:noWrap/>
            <w:vAlign w:val="center"/>
          </w:tcPr>
          <w:p w14:paraId="10BD0CD4">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p>
        </w:tc>
        <w:tc>
          <w:tcPr>
            <w:tcW w:w="513" w:type="pct"/>
            <w:noWrap/>
            <w:vAlign w:val="center"/>
          </w:tcPr>
          <w:p w14:paraId="7D89C99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内务</w:t>
            </w:r>
          </w:p>
          <w:p w14:paraId="635B3873">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w:t>
            </w:r>
          </w:p>
        </w:tc>
        <w:tc>
          <w:tcPr>
            <w:tcW w:w="2211" w:type="pct"/>
            <w:noWrap/>
            <w:vAlign w:val="center"/>
          </w:tcPr>
          <w:p w14:paraId="122CCD4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值班室保持干净、整齐、无异味、无乱挂乱放乱贴等现象。</w:t>
            </w:r>
          </w:p>
        </w:tc>
        <w:tc>
          <w:tcPr>
            <w:tcW w:w="878" w:type="pct"/>
            <w:noWrap/>
          </w:tcPr>
          <w:p w14:paraId="732985D6">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noWrap/>
            <w:vAlign w:val="center"/>
          </w:tcPr>
          <w:p w14:paraId="2155BD0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每发现一次不合格扣0.1分</w:t>
            </w:r>
          </w:p>
        </w:tc>
      </w:tr>
      <w:tr w14:paraId="21FC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86" w:type="pct"/>
            <w:noWrap/>
            <w:vAlign w:val="center"/>
          </w:tcPr>
          <w:p w14:paraId="5DC22BAC">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p>
        </w:tc>
        <w:tc>
          <w:tcPr>
            <w:tcW w:w="513" w:type="pct"/>
            <w:noWrap/>
            <w:vAlign w:val="center"/>
          </w:tcPr>
          <w:p w14:paraId="76D1BB4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门岗 </w:t>
            </w:r>
          </w:p>
          <w:p w14:paraId="40A0E535">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w:t>
            </w:r>
          </w:p>
        </w:tc>
        <w:tc>
          <w:tcPr>
            <w:tcW w:w="2211" w:type="pct"/>
            <w:noWrap/>
            <w:vAlign w:val="center"/>
          </w:tcPr>
          <w:p w14:paraId="4624D32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严格落实院方要求，做好人员、车辆和物品进出管理。 </w:t>
            </w:r>
          </w:p>
        </w:tc>
        <w:tc>
          <w:tcPr>
            <w:tcW w:w="878" w:type="pct"/>
            <w:noWrap/>
          </w:tcPr>
          <w:p w14:paraId="49A3C92F">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noWrap/>
            <w:vAlign w:val="center"/>
          </w:tcPr>
          <w:p w14:paraId="6400ED2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147B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86" w:type="pct"/>
            <w:noWrap/>
            <w:vAlign w:val="center"/>
          </w:tcPr>
          <w:p w14:paraId="05FDE766">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p>
        </w:tc>
        <w:tc>
          <w:tcPr>
            <w:tcW w:w="513" w:type="pct"/>
            <w:noWrap/>
            <w:vAlign w:val="center"/>
          </w:tcPr>
          <w:p w14:paraId="70ABA3C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疫情</w:t>
            </w:r>
          </w:p>
          <w:p w14:paraId="670C16C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防控</w:t>
            </w:r>
          </w:p>
        </w:tc>
        <w:tc>
          <w:tcPr>
            <w:tcW w:w="2211" w:type="pct"/>
            <w:noWrap/>
            <w:vAlign w:val="center"/>
          </w:tcPr>
          <w:p w14:paraId="02A4D47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严格按照院方要求落实</w:t>
            </w:r>
          </w:p>
        </w:tc>
        <w:tc>
          <w:tcPr>
            <w:tcW w:w="878" w:type="pct"/>
            <w:noWrap/>
            <w:vAlign w:val="center"/>
          </w:tcPr>
          <w:p w14:paraId="07FDC036">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现场检查</w:t>
            </w:r>
          </w:p>
        </w:tc>
        <w:tc>
          <w:tcPr>
            <w:tcW w:w="910" w:type="pct"/>
            <w:noWrap/>
            <w:vAlign w:val="center"/>
          </w:tcPr>
          <w:p w14:paraId="302AF476">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19FC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6" w:type="pct"/>
            <w:noWrap/>
            <w:vAlign w:val="center"/>
          </w:tcPr>
          <w:p w14:paraId="71A0D534">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w:t>
            </w:r>
          </w:p>
        </w:tc>
        <w:tc>
          <w:tcPr>
            <w:tcW w:w="513" w:type="pct"/>
            <w:noWrap/>
            <w:vAlign w:val="center"/>
          </w:tcPr>
          <w:p w14:paraId="7DE1EBF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车辆</w:t>
            </w:r>
          </w:p>
          <w:p w14:paraId="16B2920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w:t>
            </w:r>
          </w:p>
        </w:tc>
        <w:tc>
          <w:tcPr>
            <w:tcW w:w="2211" w:type="pct"/>
            <w:noWrap/>
            <w:vAlign w:val="center"/>
          </w:tcPr>
          <w:p w14:paraId="539AAA0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进出车辆管理有序，道路畅通。停车场管理严格，出入有电脑登记。非机动车辆整齐集中停放，场地整洁，未经院领导同意不得对非官方和广西的救护车进入本院，对本院转外市的救护车要登记好出车时间和去向</w:t>
            </w:r>
          </w:p>
        </w:tc>
        <w:tc>
          <w:tcPr>
            <w:tcW w:w="878" w:type="pct"/>
            <w:noWrap/>
            <w:vAlign w:val="center"/>
          </w:tcPr>
          <w:p w14:paraId="03B5C21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noWrap/>
            <w:vAlign w:val="center"/>
          </w:tcPr>
          <w:p w14:paraId="5BB6456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456F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486" w:type="pct"/>
            <w:noWrap/>
            <w:vAlign w:val="center"/>
          </w:tcPr>
          <w:p w14:paraId="23B45FF6">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w:t>
            </w:r>
          </w:p>
        </w:tc>
        <w:tc>
          <w:tcPr>
            <w:tcW w:w="513" w:type="pct"/>
            <w:noWrap/>
            <w:vAlign w:val="center"/>
          </w:tcPr>
          <w:p w14:paraId="009C2F3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秩序</w:t>
            </w:r>
          </w:p>
          <w:p w14:paraId="0EA9EFD0">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维护</w:t>
            </w:r>
          </w:p>
        </w:tc>
        <w:tc>
          <w:tcPr>
            <w:tcW w:w="2211" w:type="pct"/>
            <w:noWrap/>
            <w:vAlign w:val="center"/>
          </w:tcPr>
          <w:p w14:paraId="247FAEC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建立健全危机管理组织机构和规章制度；建立应急预案，完善突发危机应急处置措施；配备常用警械器材；定期组织员工进行培训和治安防控演练；发现危险苗头，及时上报并妥善处置，每月的安保人员训练要拍照留底，并做好记录台账。严禁上班时间玩手机、</w:t>
            </w:r>
            <w:r>
              <w:rPr>
                <w:rFonts w:hint="eastAsia" w:cs="仿宋_GB2312"/>
                <w:color w:val="auto"/>
                <w:sz w:val="28"/>
                <w:szCs w:val="28"/>
                <w:highlight w:val="none"/>
                <w:lang w:val="en-US" w:eastAsia="zh-CN"/>
              </w:rPr>
              <w:t>看</w:t>
            </w:r>
            <w:r>
              <w:rPr>
                <w:rFonts w:hint="eastAsia" w:ascii="仿宋_GB2312" w:hAnsi="仿宋_GB2312" w:eastAsia="仿宋_GB2312" w:cs="仿宋_GB2312"/>
                <w:color w:val="auto"/>
                <w:sz w:val="28"/>
                <w:szCs w:val="28"/>
                <w:highlight w:val="none"/>
              </w:rPr>
              <w:t>电视、聊天、睡觉等与工作无关的事。</w:t>
            </w:r>
          </w:p>
        </w:tc>
        <w:tc>
          <w:tcPr>
            <w:tcW w:w="878" w:type="pct"/>
            <w:noWrap/>
            <w:vAlign w:val="center"/>
          </w:tcPr>
          <w:p w14:paraId="598D818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noWrap/>
            <w:vAlign w:val="center"/>
          </w:tcPr>
          <w:p w14:paraId="6FAAEC56">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5913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5" w:hRule="atLeast"/>
          <w:jc w:val="center"/>
        </w:trPr>
        <w:tc>
          <w:tcPr>
            <w:tcW w:w="486" w:type="pct"/>
            <w:noWrap/>
            <w:vAlign w:val="center"/>
          </w:tcPr>
          <w:p w14:paraId="2B89E126">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w:t>
            </w:r>
          </w:p>
        </w:tc>
        <w:tc>
          <w:tcPr>
            <w:tcW w:w="513" w:type="pct"/>
            <w:noWrap/>
            <w:vAlign w:val="center"/>
          </w:tcPr>
          <w:p w14:paraId="4E2741F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消防 </w:t>
            </w:r>
          </w:p>
          <w:p w14:paraId="2F7C662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w:t>
            </w:r>
          </w:p>
        </w:tc>
        <w:tc>
          <w:tcPr>
            <w:tcW w:w="2211" w:type="pct"/>
            <w:noWrap/>
            <w:vAlign w:val="center"/>
          </w:tcPr>
          <w:p w14:paraId="03049A4D">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成立义务消防队，职责明确；建立健全消防应急预案，定期演练；熟悉消防设施，熟练使用消防器材；熟练掌握火灾报警</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人员疏散</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初期火灾扑救等知识；保障消防通道的畅通和消防器材的有效使用性；熟练掌握消防设备设施的使用状况，发现问题及时反馈并跟进。</w:t>
            </w:r>
            <w:r>
              <w:rPr>
                <w:rFonts w:hint="eastAsia" w:ascii="仿宋_GB2312" w:hAnsi="仿宋_GB2312" w:eastAsia="仿宋_GB2312" w:cs="仿宋_GB2312"/>
                <w:color w:val="auto"/>
                <w:kern w:val="0"/>
                <w:sz w:val="28"/>
                <w:szCs w:val="28"/>
                <w:highlight w:val="none"/>
              </w:rPr>
              <w:t>实时观察视频监控系统画面情况，发现可疑人员、病人跌倒、伤医事件、火警、监控损坏等异常情况，及时报告相关部门处理。</w:t>
            </w:r>
            <w:r>
              <w:rPr>
                <w:rFonts w:hint="eastAsia" w:ascii="仿宋_GB2312" w:hAnsi="仿宋_GB2312" w:eastAsia="仿宋_GB2312" w:cs="仿宋_GB2312"/>
                <w:color w:val="auto"/>
                <w:sz w:val="28"/>
                <w:szCs w:val="28"/>
                <w:highlight w:val="none"/>
              </w:rPr>
              <w:t>每2小时进行巡查，及时排除火灾隐患。严禁上班时间玩手机、</w:t>
            </w:r>
            <w:r>
              <w:rPr>
                <w:rFonts w:hint="eastAsia" w:cs="仿宋_GB2312"/>
                <w:color w:val="auto"/>
                <w:sz w:val="28"/>
                <w:szCs w:val="28"/>
                <w:highlight w:val="none"/>
                <w:lang w:val="en-US" w:eastAsia="zh-CN"/>
              </w:rPr>
              <w:t>看</w:t>
            </w:r>
            <w:r>
              <w:rPr>
                <w:rFonts w:hint="eastAsia" w:ascii="仿宋_GB2312" w:hAnsi="仿宋_GB2312" w:eastAsia="仿宋_GB2312" w:cs="仿宋_GB2312"/>
                <w:color w:val="auto"/>
                <w:sz w:val="28"/>
                <w:szCs w:val="28"/>
                <w:highlight w:val="none"/>
              </w:rPr>
              <w:t>电视、聊天、睡觉等与工作无关的事。</w:t>
            </w:r>
          </w:p>
        </w:tc>
        <w:tc>
          <w:tcPr>
            <w:tcW w:w="878" w:type="pct"/>
            <w:noWrap/>
            <w:vAlign w:val="center"/>
          </w:tcPr>
          <w:p w14:paraId="7ACD70DA">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noWrap/>
            <w:vAlign w:val="center"/>
          </w:tcPr>
          <w:p w14:paraId="7CA0872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bl>
    <w:p w14:paraId="38A08CC8">
      <w:pPr>
        <w:spacing w:line="400" w:lineRule="exact"/>
        <w:ind w:firstLine="0" w:firstLineChars="0"/>
        <w:rPr>
          <w:rFonts w:hint="eastAsia" w:ascii="仿宋_GB2312" w:hAnsi="仿宋_GB2312" w:eastAsia="仿宋_GB2312" w:cs="仿宋_GB2312"/>
          <w:color w:val="auto"/>
          <w:sz w:val="28"/>
          <w:szCs w:val="28"/>
          <w:highlight w:val="none"/>
        </w:rPr>
      </w:pPr>
    </w:p>
    <w:p w14:paraId="5E4BE03D">
      <w:pPr>
        <w:pStyle w:val="1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所有服务人员根据服务质量和工作要求，由各部门负责人会对当月服务质量进行检查考核，考核成绩和考核具体情况与服务费挂钩。满意为100分，总分达到90分以上（含90分）不扣减当月服务费。当低于90分，则每少1分，扣减当月清洁服务费3%。</w:t>
      </w:r>
    </w:p>
    <w:p w14:paraId="3B4A5BFC">
      <w:pPr>
        <w:pStyle w:val="1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★如果中标人连续3月不能达到服务标准考核的合格分数90分，采购人有权解除服务合同，并停发不合格最后一个月的合同服务费，由此造成的损失，由中标人全部负责，采购人不负任何责任。</w:t>
      </w:r>
    </w:p>
    <w:p w14:paraId="47F96787">
      <w:pPr>
        <w:pStyle w:val="1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★合同期间内，如中标人出现集体罢工、停工现象，采购人有权根据情况终止合同。</w:t>
      </w:r>
    </w:p>
    <w:p w14:paraId="67A31DD7">
      <w:pPr>
        <w:pStyle w:val="14"/>
        <w:spacing w:line="56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六、采购项目商务要求</w:t>
      </w:r>
    </w:p>
    <w:p w14:paraId="7E4F71C2">
      <w:pPr>
        <w:spacing w:line="360" w:lineRule="auto"/>
        <w:ind w:firstLine="562" w:firstLineChars="200"/>
        <w:jc w:val="left"/>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kern w:val="0"/>
          <w:sz w:val="28"/>
          <w:szCs w:val="28"/>
          <w:highlight w:val="none"/>
        </w:rPr>
        <w:t>说明</w:t>
      </w:r>
      <w:r>
        <w:rPr>
          <w:rFonts w:hint="eastAsia" w:ascii="仿宋_GB2312" w:hAnsi="仿宋_GB2312" w:eastAsia="仿宋_GB2312" w:cs="仿宋_GB2312"/>
          <w:b/>
          <w:color w:val="auto"/>
          <w:sz w:val="28"/>
          <w:szCs w:val="28"/>
          <w:highlight w:val="none"/>
        </w:rPr>
        <w:t>：（1）标“★” 号的为实质性条款， 投标人如有任何一条偏离则导致投标无效。</w:t>
      </w:r>
    </w:p>
    <w:p w14:paraId="0B49D3C4">
      <w:pPr>
        <w:adjustRightInd w:val="0"/>
        <w:snapToGrid w:val="0"/>
        <w:spacing w:line="360" w:lineRule="auto"/>
        <w:ind w:firstLine="562"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kern w:val="0"/>
          <w:sz w:val="28"/>
          <w:szCs w:val="28"/>
          <w:highlight w:val="none"/>
        </w:rPr>
        <w:t>（2）用户需求书中打“▲”号条款为重要服务要求，若有部分“▲”条款未响应或不满足，将根据评审要求影响其得分，但不作为无效投标（响应）条款。</w:t>
      </w:r>
    </w:p>
    <w:p w14:paraId="699E04F4">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1.合同履行地点：采购人指定地点。</w:t>
      </w:r>
    </w:p>
    <w:p w14:paraId="343377EF">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2.服务期：自合同签订后壹年内完成。</w:t>
      </w:r>
    </w:p>
    <w:p w14:paraId="099849A5">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3.报价要求：</w:t>
      </w:r>
    </w:p>
    <w:p w14:paraId="15D73857">
      <w:pPr>
        <w:spacing w:line="360" w:lineRule="auto"/>
        <w:ind w:left="0" w:leftChars="0" w:firstLine="560" w:firstLineChars="2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rPr>
        <w:t>（1）投标人所报的报价总价不能超过项目预算，否则作无效投标处理；</w:t>
      </w:r>
    </w:p>
    <w:p w14:paraId="3A4A9023">
      <w:pPr>
        <w:spacing w:line="360" w:lineRule="auto"/>
        <w:ind w:left="0" w:leftChars="0" w:firstLine="560" w:firstLineChars="2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rPr>
        <w:t>投标报价应包括标的服务及其他附属服务的服务费用、相关人员工资、方案报告编制费、</w:t>
      </w:r>
      <w:r>
        <w:rPr>
          <w:rFonts w:hint="eastAsia" w:ascii="仿宋_GB2312" w:hAnsi="仿宋_GB2312" w:eastAsia="仿宋_GB2312" w:cs="仿宋_GB2312"/>
          <w:color w:val="auto"/>
          <w:sz w:val="28"/>
          <w:szCs w:val="28"/>
          <w:highlight w:val="none"/>
          <w:lang w:val="zh-CN"/>
        </w:rPr>
        <w:t>验收、</w:t>
      </w:r>
      <w:r>
        <w:rPr>
          <w:rFonts w:hint="eastAsia" w:ascii="仿宋_GB2312" w:hAnsi="仿宋_GB2312" w:eastAsia="仿宋_GB2312" w:cs="仿宋_GB2312"/>
          <w:color w:val="auto"/>
          <w:sz w:val="28"/>
          <w:szCs w:val="28"/>
          <w:highlight w:val="none"/>
        </w:rPr>
        <w:t>资料费、</w:t>
      </w:r>
      <w:r>
        <w:rPr>
          <w:rFonts w:hint="eastAsia" w:ascii="仿宋_GB2312" w:hAnsi="仿宋_GB2312" w:eastAsia="仿宋_GB2312" w:cs="仿宋_GB2312"/>
          <w:color w:val="auto"/>
          <w:sz w:val="28"/>
          <w:szCs w:val="28"/>
          <w:highlight w:val="none"/>
          <w:lang w:val="zh-CN"/>
        </w:rPr>
        <w:t>各项税费及合同实施中不可预见费用等完成本次招标内容所需的一切费用</w:t>
      </w:r>
      <w:r>
        <w:rPr>
          <w:rFonts w:hint="eastAsia" w:ascii="仿宋_GB2312" w:hAnsi="仿宋_GB2312" w:eastAsia="仿宋_GB2312" w:cs="仿宋_GB2312"/>
          <w:color w:val="auto"/>
          <w:sz w:val="28"/>
          <w:szCs w:val="28"/>
          <w:highlight w:val="none"/>
        </w:rPr>
        <w:t>，采购人不再另付任何费用</w:t>
      </w:r>
      <w:r>
        <w:rPr>
          <w:rFonts w:hint="eastAsia" w:ascii="仿宋_GB2312" w:hAnsi="仿宋_GB2312" w:eastAsia="仿宋_GB2312" w:cs="仿宋_GB2312"/>
          <w:color w:val="auto"/>
          <w:sz w:val="28"/>
          <w:szCs w:val="28"/>
          <w:highlight w:val="none"/>
          <w:lang w:val="zh-CN"/>
        </w:rPr>
        <w:t>。</w:t>
      </w:r>
    </w:p>
    <w:p w14:paraId="1F9BA2B2">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4.基本要求：</w:t>
      </w:r>
    </w:p>
    <w:p w14:paraId="3DA111B5">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★（1）中标人应遵守国家有关法律、法规及有关规定，应与本项目人员签订劳动合同，支付工资福利、加班费、社会保险，不得拖欠人员工资。（提供承诺函并加盖公章）</w:t>
      </w:r>
    </w:p>
    <w:p w14:paraId="1B738B7D">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清洁用具用品配置要求：中标人需提供清洁工具、用品（清洁工具、用品需确保不会损害建筑物原有材质）：与本服务项目相关的所有清扫清洁工具、养护工具、清洁养护剂、消毒剂（粉）、劳保用品等，但不包括废物回收箱及垃圾袋。（提供承诺函并加盖公章）</w:t>
      </w:r>
    </w:p>
    <w:p w14:paraId="374AC2D2">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（3）合同签订后，中标人需在合同生效当日起按双方约定将所有与项目相关的设备工具、物料、人员安排到位，并落实实施方案，进行正常的服务工作。</w:t>
      </w:r>
    </w:p>
    <w:p w14:paraId="3323D7E5">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的终止根据合同内容规定执行，中标人若在合同期内出现重大管理失误、严重违约或用户投诉多，采购人书面责令中标人限期整改，中标人没有在规定期限内改正的，采购人有权终止合同并按违约责任条款执行，中标人应赔偿由此造成采购人的经济损失。</w:t>
      </w:r>
    </w:p>
    <w:p w14:paraId="0DF0F2BE">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中标人应提供服务员工名册，名册内容应包含员工身份信息，加盖中标人公章，以供采购人备案；若中标人服务期内中途需要更换员工，应按规定提前通知采购人，并及时提供更换后员工名单及身份信息。采购人有权定期抽查。</w:t>
      </w:r>
    </w:p>
    <w:p w14:paraId="4A8B315E">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（6）中标人员工上岗工作期间应</w:t>
      </w:r>
      <w:r>
        <w:rPr>
          <w:rFonts w:hint="eastAsia" w:hAnsi="仿宋_GB2312" w:cs="仿宋_GB2312"/>
          <w:color w:val="auto"/>
          <w:sz w:val="28"/>
          <w:szCs w:val="28"/>
          <w:highlight w:val="none"/>
          <w:lang w:eastAsia="zh-CN"/>
        </w:rPr>
        <w:t>佩</w:t>
      </w:r>
      <w:r>
        <w:rPr>
          <w:rFonts w:hint="eastAsia" w:ascii="仿宋_GB2312" w:hAnsi="仿宋_GB2312" w:eastAsia="仿宋_GB2312" w:cs="仿宋_GB2312"/>
          <w:color w:val="auto"/>
          <w:sz w:val="28"/>
          <w:szCs w:val="28"/>
          <w:highlight w:val="none"/>
        </w:rPr>
        <w:t>带标有员工姓名和编号的胸卡，上岗期间应讲究文明礼貌，注意仪表仪容。</w:t>
      </w:r>
    </w:p>
    <w:p w14:paraId="425C96D6">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（7）中标人有责任维持员工变动的</w:t>
      </w:r>
      <w:r>
        <w:rPr>
          <w:rFonts w:hint="eastAsia" w:hAnsi="仿宋_GB2312" w:cs="仿宋_GB2312"/>
          <w:color w:val="auto"/>
          <w:sz w:val="28"/>
          <w:szCs w:val="28"/>
          <w:highlight w:val="none"/>
          <w:lang w:val="en-US" w:eastAsia="zh-CN"/>
        </w:rPr>
        <w:t>不</w:t>
      </w:r>
      <w:r>
        <w:rPr>
          <w:rFonts w:hint="eastAsia" w:ascii="仿宋_GB2312" w:hAnsi="仿宋_GB2312" w:eastAsia="仿宋_GB2312" w:cs="仿宋_GB2312"/>
          <w:color w:val="auto"/>
          <w:sz w:val="28"/>
          <w:szCs w:val="28"/>
          <w:highlight w:val="none"/>
        </w:rPr>
        <w:t>频繁性</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以免影响服务质量，每月变动人员不能超过总聘用人员的8%，连续三个月超出承诺的，采购人有权解除此服务的合同。（提供承诺函并加盖公章）</w:t>
      </w:r>
    </w:p>
    <w:p w14:paraId="2D0086A6">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5.总体要求（采用扣分方法）：</w:t>
      </w:r>
    </w:p>
    <w:p w14:paraId="6DFD470D">
      <w:pPr>
        <w:spacing w:line="360" w:lineRule="auto"/>
        <w:ind w:left="0" w:leftChars="0" w:firstLine="560"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（1）每月不定期检查评分1次，完全不达标者扣完该项分为止。总分100分，达到90分以上(含90分)不扣减当月服务费。当低于90分，则每少1分，扣减当月</w:t>
      </w:r>
      <w:r>
        <w:rPr>
          <w:rFonts w:hint="eastAsia" w:ascii="仿宋_GB2312" w:hAnsi="仿宋_GB2312" w:eastAsia="仿宋_GB2312" w:cs="仿宋_GB2312"/>
          <w:color w:val="auto"/>
          <w:sz w:val="28"/>
          <w:szCs w:val="28"/>
          <w:highlight w:val="none"/>
          <w:lang w:eastAsia="zh-CN"/>
        </w:rPr>
        <w:t>后勤保洁、安保</w:t>
      </w:r>
      <w:r>
        <w:rPr>
          <w:rFonts w:hint="eastAsia" w:ascii="仿宋_GB2312" w:hAnsi="仿宋_GB2312" w:eastAsia="仿宋_GB2312" w:cs="仿宋_GB2312"/>
          <w:color w:val="auto"/>
          <w:sz w:val="28"/>
          <w:szCs w:val="28"/>
          <w:highlight w:val="none"/>
        </w:rPr>
        <w:t>服务</w:t>
      </w:r>
      <w:r>
        <w:rPr>
          <w:rFonts w:hint="eastAsia" w:ascii="仿宋_GB2312" w:hAnsi="仿宋_GB2312" w:eastAsia="仿宋_GB2312" w:cs="仿宋_GB2312"/>
          <w:color w:val="auto"/>
          <w:sz w:val="28"/>
          <w:szCs w:val="28"/>
          <w:highlight w:val="none"/>
          <w:lang w:eastAsia="zh-CN"/>
        </w:rPr>
        <w:t>总</w:t>
      </w:r>
      <w:r>
        <w:rPr>
          <w:rFonts w:hint="eastAsia" w:ascii="仿宋_GB2312" w:hAnsi="仿宋_GB2312" w:eastAsia="仿宋_GB2312" w:cs="仿宋_GB2312"/>
          <w:color w:val="auto"/>
          <w:sz w:val="28"/>
          <w:szCs w:val="28"/>
          <w:highlight w:val="none"/>
        </w:rPr>
        <w:t>费</w:t>
      </w:r>
      <w:r>
        <w:rPr>
          <w:rFonts w:hint="eastAsia" w:ascii="仿宋_GB2312" w:hAnsi="仿宋_GB2312" w:eastAsia="仿宋_GB2312" w:cs="仿宋_GB2312"/>
          <w:color w:val="auto"/>
          <w:sz w:val="28"/>
          <w:szCs w:val="28"/>
          <w:highlight w:val="none"/>
          <w:lang w:eastAsia="zh-CN"/>
        </w:rPr>
        <w:t>用</w:t>
      </w:r>
      <w:r>
        <w:rPr>
          <w:rFonts w:hint="eastAsia" w:ascii="仿宋_GB2312" w:hAnsi="仿宋_GB2312" w:eastAsia="仿宋_GB2312" w:cs="仿宋_GB2312"/>
          <w:color w:val="auto"/>
          <w:sz w:val="28"/>
          <w:szCs w:val="28"/>
          <w:highlight w:val="none"/>
        </w:rPr>
        <w:t>总额的3%。评分表</w:t>
      </w:r>
      <w:r>
        <w:rPr>
          <w:rFonts w:hint="eastAsia" w:hAnsi="仿宋_GB2312" w:cs="仿宋_GB2312"/>
          <w:color w:val="auto"/>
          <w:sz w:val="28"/>
          <w:szCs w:val="28"/>
          <w:highlight w:val="none"/>
          <w:lang w:eastAsia="zh-CN"/>
        </w:rPr>
        <w:t>（评分表签约后完善）</w:t>
      </w:r>
    </w:p>
    <w:p w14:paraId="593E07D9">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果中标人连续3个月不能达到服务标准考核的合格分数90分，采购人有权解除此服务的合同，并停发不合格最后一个月的合同服务费，由此造成的损失，由中标人全部负责，采购人不负任何责任。（提供承诺函并加盖公章）</w:t>
      </w:r>
    </w:p>
    <w:p w14:paraId="7546CB08">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★（3）合同时间内，如中标人出现集体罢工、停工现象，采购人有权根据情况终止合同。（提供承诺函并加盖公章）</w:t>
      </w:r>
    </w:p>
    <w:p w14:paraId="4A4F2B5A">
      <w:pPr>
        <w:spacing w:line="360" w:lineRule="auto"/>
        <w:ind w:left="0" w:leftChars="0"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6.特别约定</w:t>
      </w:r>
    </w:p>
    <w:p w14:paraId="030CEB4B">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（1）中标人员工在岗履行工作职责期间，发生自身的人身伤害、伤亡，由中标人负责处理并承担所有责任。</w:t>
      </w:r>
    </w:p>
    <w:p w14:paraId="39B367B8">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（2）中标人与聘用人员发生纠纷，均由中标人负责调解与处理，采购人不承担责任。</w:t>
      </w:r>
    </w:p>
    <w:p w14:paraId="1B6B210B">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（3）中标人负责提供一切相关证照办理并复印给采购人备案。</w:t>
      </w:r>
    </w:p>
    <w:p w14:paraId="50142104">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（4）因中标人自身管理失误导致的社会和法律责任由中标人负责。</w:t>
      </w:r>
    </w:p>
    <w:p w14:paraId="65F74EA1">
      <w:pPr>
        <w:spacing w:line="360" w:lineRule="auto"/>
        <w:ind w:left="0" w:leftChars="0" w:firstLine="560" w:firstLineChars="200"/>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sz w:val="28"/>
          <w:szCs w:val="28"/>
          <w:highlight w:val="none"/>
        </w:rPr>
        <w:t>（5）签订本合同之日，中标人须向采购人缴纳合同金额的5%作为本项目的工作质量履约保证金。</w:t>
      </w:r>
    </w:p>
    <w:p w14:paraId="4618103F">
      <w:pPr>
        <w:spacing w:line="360" w:lineRule="auto"/>
        <w:ind w:left="0" w:leftChars="0" w:firstLine="560" w:firstLineChars="200"/>
        <w:rPr>
          <w:rFonts w:hint="eastAsia" w:ascii="仿宋_GB2312" w:hAnsi="仿宋_GB2312" w:eastAsia="仿宋_GB2312" w:cs="仿宋_GB2312"/>
          <w:color w:val="auto"/>
          <w:kern w:val="2"/>
          <w:sz w:val="28"/>
          <w:szCs w:val="28"/>
          <w:highlight w:val="none"/>
          <w:lang w:eastAsia="zh-CN"/>
        </w:rPr>
      </w:pPr>
      <w:r>
        <w:rPr>
          <w:rFonts w:hint="eastAsia" w:hAnsi="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rPr>
        <w:t>注：工作质量履约保证金为合同价的5%，可采用对公转账汇款形式或担保保函形式。</w:t>
      </w:r>
      <w:r>
        <w:rPr>
          <w:rFonts w:hint="eastAsia" w:hAnsi="仿宋_GB2312" w:cs="仿宋_GB2312"/>
          <w:color w:val="auto"/>
          <w:kern w:val="2"/>
          <w:sz w:val="28"/>
          <w:szCs w:val="28"/>
          <w:highlight w:val="none"/>
          <w:lang w:eastAsia="zh-CN"/>
        </w:rPr>
        <w:t>）</w:t>
      </w:r>
    </w:p>
    <w:p w14:paraId="7D9BA7F7">
      <w:pPr>
        <w:spacing w:line="360" w:lineRule="auto"/>
        <w:ind w:firstLine="560" w:firstLineChars="200"/>
        <w:rPr>
          <w:rFonts w:hint="eastAsia" w:hAnsi="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对公转账汇款形式：若中标人于合同期限内能按时依约完成各项管理服务，则采购人于合同期限届满、且中标人已与采购人办妥交接手续之后的 2 个工作日内，将保证金本金一次性退还给中标人（不计利息）。</w:t>
      </w:r>
      <w:r>
        <w:rPr>
          <w:rFonts w:hint="eastAsia" w:hAnsi="仿宋_GB2312" w:cs="仿宋_GB2312"/>
          <w:color w:val="auto"/>
          <w:sz w:val="28"/>
          <w:szCs w:val="28"/>
          <w:highlight w:val="none"/>
          <w:lang w:val="en-US" w:eastAsia="zh-CN"/>
        </w:rPr>
        <w:t xml:space="preserve">  </w:t>
      </w:r>
    </w:p>
    <w:p w14:paraId="08F45A57">
      <w:pPr>
        <w:spacing w:line="360" w:lineRule="auto"/>
        <w:ind w:firstLine="560" w:firstLineChars="200"/>
        <w:rPr>
          <w:rFonts w:hint="eastAsia" w:ascii="仿宋_GB2312" w:hAnsi="仿宋_GB2312" w:eastAsia="仿宋_GB2312" w:cs="仿宋_GB2312"/>
          <w:color w:val="auto"/>
          <w:kern w:val="2"/>
          <w:sz w:val="28"/>
          <w:szCs w:val="28"/>
          <w:highlight w:val="none"/>
          <w:lang w:eastAsia="zh-CN"/>
        </w:rPr>
      </w:pPr>
      <w:r>
        <w:rPr>
          <w:rFonts w:hint="eastAsia" w:ascii="仿宋_GB2312" w:hAnsi="仿宋_GB2312" w:eastAsia="仿宋_GB2312" w:cs="仿宋_GB2312"/>
          <w:color w:val="auto"/>
          <w:kern w:val="2"/>
          <w:sz w:val="28"/>
          <w:szCs w:val="28"/>
          <w:highlight w:val="none"/>
        </w:rPr>
        <w:t>担保函形式:担保采用银行保函或保证保险时，开具保函或保险须符合《关于商业银行、保险公司、担保机构开展建筑市场相关业务实行清单管理的通知》（云建市〔2018〕48号）的要求，并在云浮市住房和城乡建设局公布的最新一期商业银行、保险公司、担保机构名录公示中,工作质量履约保证金保函须为无条件且不可撤销，有效期不得少于服务期。（提供承诺函并加盖公章）</w:t>
      </w:r>
    </w:p>
    <w:p w14:paraId="7BBAD13F">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（6）随着医院的发展，若需增加服务人员，则按实际需要增加，每月费用按实际用工量结算。新增费用按如下规则进行限制：</w:t>
      </w:r>
    </w:p>
    <w:p w14:paraId="2A7C87D4">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1）每增加一名</w:t>
      </w:r>
      <w:r>
        <w:rPr>
          <w:rFonts w:hint="eastAsia" w:hAnsi="仿宋_GB2312" w:cs="仿宋_GB2312"/>
          <w:color w:val="auto"/>
          <w:sz w:val="28"/>
          <w:szCs w:val="28"/>
          <w:highlight w:val="none"/>
          <w:lang w:eastAsia="zh-CN"/>
        </w:rPr>
        <w:t>保安员</w:t>
      </w:r>
      <w:r>
        <w:rPr>
          <w:rFonts w:hint="eastAsia" w:ascii="仿宋_GB2312" w:hAnsi="仿宋_GB2312" w:eastAsia="仿宋_GB2312" w:cs="仿宋_GB2312"/>
          <w:color w:val="auto"/>
          <w:sz w:val="28"/>
          <w:szCs w:val="28"/>
          <w:highlight w:val="none"/>
        </w:rPr>
        <w:t>增加不高于每人3500元/月；</w:t>
      </w:r>
    </w:p>
    <w:p w14:paraId="28953E87">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2）临时增加的人员工作不满一个月的，服务费按增加人员实际工作日进行计算。</w:t>
      </w:r>
    </w:p>
    <w:p w14:paraId="45E7758A">
      <w:pPr>
        <w:autoSpaceDE w:val="0"/>
        <w:autoSpaceDN w:val="0"/>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7.付款方式：</w:t>
      </w:r>
    </w:p>
    <w:p w14:paraId="3D103D5D">
      <w:pPr>
        <w:pStyle w:val="4"/>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（1）采购人在每月的 15 日前按考核结果结算上月费用。中标人负责向采购人提供由政府税务部门开具的有效发票及公司账户，采购人收到发票之日在 10 个工作日内把款项汇出。（特殊情况除外）</w:t>
      </w:r>
    </w:p>
    <w:p w14:paraId="1256D5C3">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（2）中标人凭以下有效文件与采购人结算：</w:t>
      </w:r>
    </w:p>
    <w:p w14:paraId="0D96CC95">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1）合同；</w:t>
      </w:r>
    </w:p>
    <w:p w14:paraId="5DF476CF">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2）中标人开具的正式发票；</w:t>
      </w:r>
    </w:p>
    <w:p w14:paraId="0AC4CD43">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3）中标通知书；</w:t>
      </w:r>
    </w:p>
    <w:p w14:paraId="22799A5A">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4）中标人营业执照；</w:t>
      </w:r>
    </w:p>
    <w:p w14:paraId="73E249A8">
      <w:pPr>
        <w:spacing w:line="360" w:lineRule="auto"/>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5）中标人银行开户许可证。</w:t>
      </w:r>
    </w:p>
    <w:p w14:paraId="7795A14F"/>
    <w:p w14:paraId="41044766">
      <w:pPr>
        <w:pStyle w:val="5"/>
        <w:ind w:left="0" w:leftChars="0" w:firstLine="0" w:firstLineChars="0"/>
        <w:sectPr>
          <w:headerReference r:id="rId5" w:type="default"/>
          <w:footerReference r:id="rId6" w:type="default"/>
          <w:pgSz w:w="11906" w:h="16838"/>
          <w:pgMar w:top="1440" w:right="1576" w:bottom="1440" w:left="1746" w:header="851" w:footer="992" w:gutter="0"/>
          <w:cols w:space="0" w:num="1"/>
          <w:docGrid w:type="lines" w:linePitch="465" w:charSpace="0"/>
        </w:sectPr>
      </w:pPr>
    </w:p>
    <w:p w14:paraId="0BA5A443">
      <w:pPr>
        <w:pStyle w:val="5"/>
        <w:ind w:firstLine="0" w:firstLineChars="0"/>
      </w:pPr>
    </w:p>
    <w:sectPr>
      <w:pgSz w:w="16838" w:h="11906" w:orient="landscape"/>
      <w:pgMar w:top="1576" w:right="1440" w:bottom="1746" w:left="1440" w:header="851" w:footer="992" w:gutter="0"/>
      <w:cols w:space="0" w:num="1"/>
      <w:docGrid w:type="linesAndChars" w:linePitch="46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320"/>
      </w:pPr>
      <w:r>
        <w:separator/>
      </w:r>
    </w:p>
  </w:endnote>
  <w:endnote w:type="continuationSeparator" w:id="1">
    <w:p>
      <w:pPr>
        <w:spacing w:line="240" w:lineRule="auto"/>
        <w:ind w:firstLine="3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2A539">
    <w:pPr>
      <w:pStyle w:val="6"/>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320"/>
      </w:pPr>
      <w:r>
        <w:separator/>
      </w:r>
    </w:p>
  </w:footnote>
  <w:footnote w:type="continuationSeparator" w:id="1">
    <w:p>
      <w:pPr>
        <w:spacing w:line="240" w:lineRule="auto"/>
        <w:ind w:firstLine="3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0379E">
    <w:pPr>
      <w:pStyle w:val="7"/>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038A11"/>
    <w:multiLevelType w:val="singleLevel"/>
    <w:tmpl w:val="14038A11"/>
    <w:lvl w:ilvl="0" w:tentative="0">
      <w:start w:val="4"/>
      <w:numFmt w:val="chineseCounting"/>
      <w:suff w:val="nothing"/>
      <w:lvlText w:val="%1、"/>
      <w:lvlJc w:val="left"/>
      <w:rPr>
        <w:rFonts w:hint="eastAsia"/>
      </w:rPr>
    </w:lvl>
  </w:abstractNum>
  <w:abstractNum w:abstractNumId="1">
    <w:nsid w:val="63753E9B"/>
    <w:multiLevelType w:val="singleLevel"/>
    <w:tmpl w:val="63753E9B"/>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23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004A76DF"/>
    <w:rsid w:val="00004880"/>
    <w:rsid w:val="00013A0F"/>
    <w:rsid w:val="000157A8"/>
    <w:rsid w:val="000323ED"/>
    <w:rsid w:val="00064804"/>
    <w:rsid w:val="0009682D"/>
    <w:rsid w:val="00156510"/>
    <w:rsid w:val="001814F3"/>
    <w:rsid w:val="001E7B87"/>
    <w:rsid w:val="001F61A8"/>
    <w:rsid w:val="002B0C83"/>
    <w:rsid w:val="00314B11"/>
    <w:rsid w:val="003335CE"/>
    <w:rsid w:val="00395370"/>
    <w:rsid w:val="00395834"/>
    <w:rsid w:val="003D397A"/>
    <w:rsid w:val="004608FA"/>
    <w:rsid w:val="004822A4"/>
    <w:rsid w:val="00485613"/>
    <w:rsid w:val="00492B6D"/>
    <w:rsid w:val="004A11F1"/>
    <w:rsid w:val="004A76DF"/>
    <w:rsid w:val="005475AB"/>
    <w:rsid w:val="0058621C"/>
    <w:rsid w:val="005D44AE"/>
    <w:rsid w:val="00694B6D"/>
    <w:rsid w:val="006A4417"/>
    <w:rsid w:val="00715783"/>
    <w:rsid w:val="00727183"/>
    <w:rsid w:val="00752FCB"/>
    <w:rsid w:val="007718E5"/>
    <w:rsid w:val="007B2876"/>
    <w:rsid w:val="00806DBF"/>
    <w:rsid w:val="00822EA7"/>
    <w:rsid w:val="00833CEA"/>
    <w:rsid w:val="00880582"/>
    <w:rsid w:val="00894F9B"/>
    <w:rsid w:val="008B2D7A"/>
    <w:rsid w:val="008D046B"/>
    <w:rsid w:val="00915EA1"/>
    <w:rsid w:val="0095190B"/>
    <w:rsid w:val="00963EFA"/>
    <w:rsid w:val="009D6BA7"/>
    <w:rsid w:val="009E37AA"/>
    <w:rsid w:val="00A10922"/>
    <w:rsid w:val="00A1299A"/>
    <w:rsid w:val="00A40DFE"/>
    <w:rsid w:val="00A621D4"/>
    <w:rsid w:val="00A902F0"/>
    <w:rsid w:val="00AD1CDC"/>
    <w:rsid w:val="00AF185B"/>
    <w:rsid w:val="00B230FE"/>
    <w:rsid w:val="00B2494E"/>
    <w:rsid w:val="00B478E8"/>
    <w:rsid w:val="00B707FE"/>
    <w:rsid w:val="00B91BD4"/>
    <w:rsid w:val="00BB3CBE"/>
    <w:rsid w:val="00C0421B"/>
    <w:rsid w:val="00C44CCD"/>
    <w:rsid w:val="00C649BF"/>
    <w:rsid w:val="00C81927"/>
    <w:rsid w:val="00CA5A98"/>
    <w:rsid w:val="00CD2731"/>
    <w:rsid w:val="00D45AAA"/>
    <w:rsid w:val="00D811BA"/>
    <w:rsid w:val="00D83AF5"/>
    <w:rsid w:val="00DB61FD"/>
    <w:rsid w:val="00E57B19"/>
    <w:rsid w:val="00EB0284"/>
    <w:rsid w:val="00EE46D4"/>
    <w:rsid w:val="00EE4856"/>
    <w:rsid w:val="00F0163C"/>
    <w:rsid w:val="00F73E8F"/>
    <w:rsid w:val="00FD188B"/>
    <w:rsid w:val="00FF7D3D"/>
    <w:rsid w:val="020967F0"/>
    <w:rsid w:val="02AE55E9"/>
    <w:rsid w:val="02F70D3E"/>
    <w:rsid w:val="03261624"/>
    <w:rsid w:val="03653EFA"/>
    <w:rsid w:val="03C07382"/>
    <w:rsid w:val="03C449CC"/>
    <w:rsid w:val="04473600"/>
    <w:rsid w:val="04842193"/>
    <w:rsid w:val="04A15406"/>
    <w:rsid w:val="04B862AB"/>
    <w:rsid w:val="04CC499B"/>
    <w:rsid w:val="056C5A14"/>
    <w:rsid w:val="05832D5D"/>
    <w:rsid w:val="05A92A1D"/>
    <w:rsid w:val="05BD626F"/>
    <w:rsid w:val="05C76240"/>
    <w:rsid w:val="06F2795B"/>
    <w:rsid w:val="06F35FAE"/>
    <w:rsid w:val="06FF01C2"/>
    <w:rsid w:val="071023CF"/>
    <w:rsid w:val="075F6EB2"/>
    <w:rsid w:val="079C1EB4"/>
    <w:rsid w:val="0808754A"/>
    <w:rsid w:val="08206641"/>
    <w:rsid w:val="082456DC"/>
    <w:rsid w:val="08385D05"/>
    <w:rsid w:val="087F15CB"/>
    <w:rsid w:val="089D7C92"/>
    <w:rsid w:val="08BD0334"/>
    <w:rsid w:val="08D86F1C"/>
    <w:rsid w:val="08F04266"/>
    <w:rsid w:val="090B10A0"/>
    <w:rsid w:val="093D1475"/>
    <w:rsid w:val="096D58B6"/>
    <w:rsid w:val="097A7FD3"/>
    <w:rsid w:val="0992356F"/>
    <w:rsid w:val="099C718D"/>
    <w:rsid w:val="0A0843AE"/>
    <w:rsid w:val="0A1421D6"/>
    <w:rsid w:val="0A283ED3"/>
    <w:rsid w:val="0AB063A2"/>
    <w:rsid w:val="0B106E41"/>
    <w:rsid w:val="0B424B21"/>
    <w:rsid w:val="0B9A495D"/>
    <w:rsid w:val="0C90360D"/>
    <w:rsid w:val="0C9336AD"/>
    <w:rsid w:val="0C9E047D"/>
    <w:rsid w:val="0CD36378"/>
    <w:rsid w:val="0CE766EA"/>
    <w:rsid w:val="0CF87B8D"/>
    <w:rsid w:val="0D01527D"/>
    <w:rsid w:val="0D096671"/>
    <w:rsid w:val="0D333F71"/>
    <w:rsid w:val="0DDE4FD5"/>
    <w:rsid w:val="0DF75186"/>
    <w:rsid w:val="0EBD7E0F"/>
    <w:rsid w:val="0F601A19"/>
    <w:rsid w:val="10466E61"/>
    <w:rsid w:val="10510400"/>
    <w:rsid w:val="107C4ABF"/>
    <w:rsid w:val="108005C5"/>
    <w:rsid w:val="1088747A"/>
    <w:rsid w:val="108874CA"/>
    <w:rsid w:val="10B244F7"/>
    <w:rsid w:val="10E30B54"/>
    <w:rsid w:val="11716160"/>
    <w:rsid w:val="11BC387F"/>
    <w:rsid w:val="11E55436"/>
    <w:rsid w:val="1205306F"/>
    <w:rsid w:val="12331667"/>
    <w:rsid w:val="124A70DD"/>
    <w:rsid w:val="128E689D"/>
    <w:rsid w:val="13171E0D"/>
    <w:rsid w:val="133B6A25"/>
    <w:rsid w:val="135B0E75"/>
    <w:rsid w:val="136F319C"/>
    <w:rsid w:val="13E0137B"/>
    <w:rsid w:val="13E23345"/>
    <w:rsid w:val="14E86739"/>
    <w:rsid w:val="154F5BDA"/>
    <w:rsid w:val="156A1844"/>
    <w:rsid w:val="1582093B"/>
    <w:rsid w:val="158E59FE"/>
    <w:rsid w:val="15BA3249"/>
    <w:rsid w:val="15C26F8A"/>
    <w:rsid w:val="15CE3B81"/>
    <w:rsid w:val="161377E5"/>
    <w:rsid w:val="162B3B97"/>
    <w:rsid w:val="163A1216"/>
    <w:rsid w:val="16D73A62"/>
    <w:rsid w:val="16EC3E31"/>
    <w:rsid w:val="18365A0D"/>
    <w:rsid w:val="18A706B9"/>
    <w:rsid w:val="18B75BE4"/>
    <w:rsid w:val="18D95880"/>
    <w:rsid w:val="18E11E1D"/>
    <w:rsid w:val="18EA3115"/>
    <w:rsid w:val="193A32DB"/>
    <w:rsid w:val="196C2F7D"/>
    <w:rsid w:val="19720CC7"/>
    <w:rsid w:val="19D76D7C"/>
    <w:rsid w:val="1A381F10"/>
    <w:rsid w:val="1A882AFB"/>
    <w:rsid w:val="1AFE68E8"/>
    <w:rsid w:val="1B2E6E70"/>
    <w:rsid w:val="1B9F38C9"/>
    <w:rsid w:val="1C595257"/>
    <w:rsid w:val="1C7A6810"/>
    <w:rsid w:val="1C9E3BBC"/>
    <w:rsid w:val="1CC655B2"/>
    <w:rsid w:val="1CD06430"/>
    <w:rsid w:val="1DBA103F"/>
    <w:rsid w:val="1E0068A1"/>
    <w:rsid w:val="1E4B75AE"/>
    <w:rsid w:val="1EAC4C7B"/>
    <w:rsid w:val="1ED43DFB"/>
    <w:rsid w:val="1EF0008A"/>
    <w:rsid w:val="1EF1268E"/>
    <w:rsid w:val="1F185E6D"/>
    <w:rsid w:val="1F4B120E"/>
    <w:rsid w:val="1F576995"/>
    <w:rsid w:val="1F767943"/>
    <w:rsid w:val="1FC20531"/>
    <w:rsid w:val="20245396"/>
    <w:rsid w:val="20EC135F"/>
    <w:rsid w:val="213F1DD6"/>
    <w:rsid w:val="21667363"/>
    <w:rsid w:val="21EF7359"/>
    <w:rsid w:val="22D64075"/>
    <w:rsid w:val="23332DC9"/>
    <w:rsid w:val="239F090A"/>
    <w:rsid w:val="23D20962"/>
    <w:rsid w:val="244A6C98"/>
    <w:rsid w:val="249B39AA"/>
    <w:rsid w:val="24C001EA"/>
    <w:rsid w:val="24DC16EA"/>
    <w:rsid w:val="25787665"/>
    <w:rsid w:val="26192BF6"/>
    <w:rsid w:val="263F1537"/>
    <w:rsid w:val="26906E65"/>
    <w:rsid w:val="26BB1EFF"/>
    <w:rsid w:val="272555CB"/>
    <w:rsid w:val="27280C17"/>
    <w:rsid w:val="273870AC"/>
    <w:rsid w:val="27B53AFC"/>
    <w:rsid w:val="27EB411E"/>
    <w:rsid w:val="285A0982"/>
    <w:rsid w:val="28620159"/>
    <w:rsid w:val="2900009D"/>
    <w:rsid w:val="29160A91"/>
    <w:rsid w:val="2A385615"/>
    <w:rsid w:val="2A3A313B"/>
    <w:rsid w:val="2A614B6C"/>
    <w:rsid w:val="2A75089E"/>
    <w:rsid w:val="2A9652E6"/>
    <w:rsid w:val="2ABC6246"/>
    <w:rsid w:val="2C12347F"/>
    <w:rsid w:val="2C390D7C"/>
    <w:rsid w:val="2D687FBF"/>
    <w:rsid w:val="2DF35764"/>
    <w:rsid w:val="2E1819E5"/>
    <w:rsid w:val="2E314855"/>
    <w:rsid w:val="2E3D58F0"/>
    <w:rsid w:val="2E666BF4"/>
    <w:rsid w:val="2E9D013C"/>
    <w:rsid w:val="2EC15BD9"/>
    <w:rsid w:val="2EE8585B"/>
    <w:rsid w:val="2F2148C9"/>
    <w:rsid w:val="2F394CAA"/>
    <w:rsid w:val="2FBC1EE1"/>
    <w:rsid w:val="30085A89"/>
    <w:rsid w:val="305B1CFC"/>
    <w:rsid w:val="30C61284"/>
    <w:rsid w:val="30DF67EA"/>
    <w:rsid w:val="31FD6E89"/>
    <w:rsid w:val="324721A1"/>
    <w:rsid w:val="328C0BF4"/>
    <w:rsid w:val="32D103B5"/>
    <w:rsid w:val="33461DEF"/>
    <w:rsid w:val="335B7731"/>
    <w:rsid w:val="33D60378"/>
    <w:rsid w:val="33DA14EB"/>
    <w:rsid w:val="33F05E80"/>
    <w:rsid w:val="343F4CA0"/>
    <w:rsid w:val="34CE1050"/>
    <w:rsid w:val="35AC6DFB"/>
    <w:rsid w:val="35B24795"/>
    <w:rsid w:val="36195B7F"/>
    <w:rsid w:val="36455341"/>
    <w:rsid w:val="36545584"/>
    <w:rsid w:val="36857E34"/>
    <w:rsid w:val="36F942E3"/>
    <w:rsid w:val="38050F1D"/>
    <w:rsid w:val="382B581F"/>
    <w:rsid w:val="383445B5"/>
    <w:rsid w:val="38AA3B82"/>
    <w:rsid w:val="38B9026F"/>
    <w:rsid w:val="38C06F01"/>
    <w:rsid w:val="397228F1"/>
    <w:rsid w:val="3A007B82"/>
    <w:rsid w:val="3A9B5E78"/>
    <w:rsid w:val="3AB807D8"/>
    <w:rsid w:val="3B3F22C6"/>
    <w:rsid w:val="3B6617BD"/>
    <w:rsid w:val="3BB149AB"/>
    <w:rsid w:val="3BFC46F4"/>
    <w:rsid w:val="3C3814A4"/>
    <w:rsid w:val="3D0E0B83"/>
    <w:rsid w:val="3D6A1B31"/>
    <w:rsid w:val="3D89105F"/>
    <w:rsid w:val="3DC01751"/>
    <w:rsid w:val="3DC70D32"/>
    <w:rsid w:val="3DD27E02"/>
    <w:rsid w:val="3E401741"/>
    <w:rsid w:val="3E6B5B61"/>
    <w:rsid w:val="3E6F38A3"/>
    <w:rsid w:val="3E7762B4"/>
    <w:rsid w:val="3EAB0654"/>
    <w:rsid w:val="3ED951C1"/>
    <w:rsid w:val="3EE55913"/>
    <w:rsid w:val="3F8A0269"/>
    <w:rsid w:val="3FA4757D"/>
    <w:rsid w:val="3FB3330B"/>
    <w:rsid w:val="401364B0"/>
    <w:rsid w:val="40144798"/>
    <w:rsid w:val="418238EE"/>
    <w:rsid w:val="42772D26"/>
    <w:rsid w:val="428D254A"/>
    <w:rsid w:val="42FD2B88"/>
    <w:rsid w:val="43423304"/>
    <w:rsid w:val="434A21E9"/>
    <w:rsid w:val="43655275"/>
    <w:rsid w:val="4541076E"/>
    <w:rsid w:val="45554E75"/>
    <w:rsid w:val="45765517"/>
    <w:rsid w:val="45BA3253"/>
    <w:rsid w:val="45BD6392"/>
    <w:rsid w:val="45E306D3"/>
    <w:rsid w:val="45FE65F9"/>
    <w:rsid w:val="467F3637"/>
    <w:rsid w:val="46F15A37"/>
    <w:rsid w:val="46F34946"/>
    <w:rsid w:val="471B07CA"/>
    <w:rsid w:val="47841A42"/>
    <w:rsid w:val="4800317F"/>
    <w:rsid w:val="480C5CBF"/>
    <w:rsid w:val="480F755D"/>
    <w:rsid w:val="481726B4"/>
    <w:rsid w:val="484243EB"/>
    <w:rsid w:val="486A0C38"/>
    <w:rsid w:val="489463C6"/>
    <w:rsid w:val="48C034AB"/>
    <w:rsid w:val="49285F61"/>
    <w:rsid w:val="49AA39E1"/>
    <w:rsid w:val="49D942C7"/>
    <w:rsid w:val="49E335D2"/>
    <w:rsid w:val="49F039A7"/>
    <w:rsid w:val="4A407EA2"/>
    <w:rsid w:val="4A78588E"/>
    <w:rsid w:val="4AAC19DB"/>
    <w:rsid w:val="4B3612A5"/>
    <w:rsid w:val="4C1710D6"/>
    <w:rsid w:val="4C6C1422"/>
    <w:rsid w:val="4CFB6302"/>
    <w:rsid w:val="4D925848"/>
    <w:rsid w:val="4E7445BE"/>
    <w:rsid w:val="4EAA119F"/>
    <w:rsid w:val="4EEC7F74"/>
    <w:rsid w:val="4F375B14"/>
    <w:rsid w:val="4F840831"/>
    <w:rsid w:val="4FB530E0"/>
    <w:rsid w:val="4FD07F1A"/>
    <w:rsid w:val="4FEA6D37"/>
    <w:rsid w:val="4FED4628"/>
    <w:rsid w:val="503009B9"/>
    <w:rsid w:val="50373AF5"/>
    <w:rsid w:val="509C604E"/>
    <w:rsid w:val="50A3118B"/>
    <w:rsid w:val="510C31D4"/>
    <w:rsid w:val="511B5FC0"/>
    <w:rsid w:val="51656440"/>
    <w:rsid w:val="517F39A6"/>
    <w:rsid w:val="5224663F"/>
    <w:rsid w:val="52650DED"/>
    <w:rsid w:val="52EB65EF"/>
    <w:rsid w:val="535624E4"/>
    <w:rsid w:val="53E67D0C"/>
    <w:rsid w:val="54130064"/>
    <w:rsid w:val="542D76E9"/>
    <w:rsid w:val="54840B3F"/>
    <w:rsid w:val="54A83213"/>
    <w:rsid w:val="55202DAA"/>
    <w:rsid w:val="554477AB"/>
    <w:rsid w:val="556E7FB9"/>
    <w:rsid w:val="557F57DB"/>
    <w:rsid w:val="560B3A5A"/>
    <w:rsid w:val="561B6FF9"/>
    <w:rsid w:val="561D553B"/>
    <w:rsid w:val="563E0DDF"/>
    <w:rsid w:val="56427760"/>
    <w:rsid w:val="567D422C"/>
    <w:rsid w:val="571A1A7B"/>
    <w:rsid w:val="57C9597B"/>
    <w:rsid w:val="57CF2865"/>
    <w:rsid w:val="581A62F8"/>
    <w:rsid w:val="5829741D"/>
    <w:rsid w:val="591A2206"/>
    <w:rsid w:val="59D14FBA"/>
    <w:rsid w:val="59E24AD2"/>
    <w:rsid w:val="5A647BDD"/>
    <w:rsid w:val="5B0867BA"/>
    <w:rsid w:val="5B37709F"/>
    <w:rsid w:val="5C1B7154"/>
    <w:rsid w:val="5C3C37CF"/>
    <w:rsid w:val="5C910A31"/>
    <w:rsid w:val="5CBA3AE4"/>
    <w:rsid w:val="5D107BA8"/>
    <w:rsid w:val="5E652175"/>
    <w:rsid w:val="5E9F300B"/>
    <w:rsid w:val="5ED66BCF"/>
    <w:rsid w:val="5EDE6D0F"/>
    <w:rsid w:val="5F125E59"/>
    <w:rsid w:val="5FA56CCD"/>
    <w:rsid w:val="5FC15189"/>
    <w:rsid w:val="5FC31187"/>
    <w:rsid w:val="600F019A"/>
    <w:rsid w:val="604A33D1"/>
    <w:rsid w:val="609E54CA"/>
    <w:rsid w:val="61021915"/>
    <w:rsid w:val="612105D5"/>
    <w:rsid w:val="61722BDF"/>
    <w:rsid w:val="61A22D98"/>
    <w:rsid w:val="61CE1DDF"/>
    <w:rsid w:val="61EB0BE3"/>
    <w:rsid w:val="621668B9"/>
    <w:rsid w:val="626764BC"/>
    <w:rsid w:val="629B40CC"/>
    <w:rsid w:val="635A1B7D"/>
    <w:rsid w:val="63B0096C"/>
    <w:rsid w:val="640F0BB9"/>
    <w:rsid w:val="64356146"/>
    <w:rsid w:val="645667E8"/>
    <w:rsid w:val="648C045C"/>
    <w:rsid w:val="64A87604"/>
    <w:rsid w:val="64B259E8"/>
    <w:rsid w:val="64C5571C"/>
    <w:rsid w:val="64CC0858"/>
    <w:rsid w:val="64E9765C"/>
    <w:rsid w:val="6527120E"/>
    <w:rsid w:val="653B006E"/>
    <w:rsid w:val="65473B93"/>
    <w:rsid w:val="65764C68"/>
    <w:rsid w:val="661E1587"/>
    <w:rsid w:val="66410DD2"/>
    <w:rsid w:val="66636F9A"/>
    <w:rsid w:val="66925AD1"/>
    <w:rsid w:val="669B6734"/>
    <w:rsid w:val="68664B20"/>
    <w:rsid w:val="689E250C"/>
    <w:rsid w:val="68C06926"/>
    <w:rsid w:val="68C857DA"/>
    <w:rsid w:val="691438CE"/>
    <w:rsid w:val="69AF24F6"/>
    <w:rsid w:val="69D00DEB"/>
    <w:rsid w:val="69D63F27"/>
    <w:rsid w:val="6A010FA4"/>
    <w:rsid w:val="6A2353BE"/>
    <w:rsid w:val="6A7A6FA8"/>
    <w:rsid w:val="6A8E0FBE"/>
    <w:rsid w:val="6A9C2A7B"/>
    <w:rsid w:val="6B146AB5"/>
    <w:rsid w:val="6B2B3DFF"/>
    <w:rsid w:val="6BB34520"/>
    <w:rsid w:val="6C553829"/>
    <w:rsid w:val="6C5968BB"/>
    <w:rsid w:val="6C6A2D5A"/>
    <w:rsid w:val="6CAE4CE7"/>
    <w:rsid w:val="6CDF1345"/>
    <w:rsid w:val="6D006ECA"/>
    <w:rsid w:val="6D2C27DC"/>
    <w:rsid w:val="6D420123"/>
    <w:rsid w:val="6D885538"/>
    <w:rsid w:val="6DBC552C"/>
    <w:rsid w:val="6E250FD9"/>
    <w:rsid w:val="6E4771A1"/>
    <w:rsid w:val="6E655F4C"/>
    <w:rsid w:val="6E8B7F60"/>
    <w:rsid w:val="6E940676"/>
    <w:rsid w:val="6EE81071"/>
    <w:rsid w:val="6F540B15"/>
    <w:rsid w:val="6F653D83"/>
    <w:rsid w:val="6FAA79E8"/>
    <w:rsid w:val="700C06A3"/>
    <w:rsid w:val="70447E3C"/>
    <w:rsid w:val="70BF3967"/>
    <w:rsid w:val="70F829D5"/>
    <w:rsid w:val="71836742"/>
    <w:rsid w:val="71B72890"/>
    <w:rsid w:val="71D16BD8"/>
    <w:rsid w:val="71D25EF0"/>
    <w:rsid w:val="72B55021"/>
    <w:rsid w:val="72FA21B3"/>
    <w:rsid w:val="73CA0659"/>
    <w:rsid w:val="746960C4"/>
    <w:rsid w:val="74D6302D"/>
    <w:rsid w:val="74E7348C"/>
    <w:rsid w:val="75645DB7"/>
    <w:rsid w:val="75711A3B"/>
    <w:rsid w:val="757A4300"/>
    <w:rsid w:val="75D92DD5"/>
    <w:rsid w:val="75DB4D9F"/>
    <w:rsid w:val="75E43528"/>
    <w:rsid w:val="75FB7ECD"/>
    <w:rsid w:val="76152AA7"/>
    <w:rsid w:val="7641097A"/>
    <w:rsid w:val="76BB072D"/>
    <w:rsid w:val="76FE3F87"/>
    <w:rsid w:val="77361C9C"/>
    <w:rsid w:val="77F57C6E"/>
    <w:rsid w:val="780D4FB8"/>
    <w:rsid w:val="781D7479"/>
    <w:rsid w:val="783469E8"/>
    <w:rsid w:val="78354879"/>
    <w:rsid w:val="787119EB"/>
    <w:rsid w:val="78CB7157"/>
    <w:rsid w:val="78D9133E"/>
    <w:rsid w:val="79181E66"/>
    <w:rsid w:val="79733540"/>
    <w:rsid w:val="797C3244"/>
    <w:rsid w:val="79E213C6"/>
    <w:rsid w:val="7AC001C9"/>
    <w:rsid w:val="7B0D3EBE"/>
    <w:rsid w:val="7BE10C35"/>
    <w:rsid w:val="7C9673F2"/>
    <w:rsid w:val="7CA57EB5"/>
    <w:rsid w:val="7CB74D32"/>
    <w:rsid w:val="7D603DDC"/>
    <w:rsid w:val="7E1846B6"/>
    <w:rsid w:val="7E1A21DD"/>
    <w:rsid w:val="7E3A287F"/>
    <w:rsid w:val="7EA810CD"/>
    <w:rsid w:val="7F0B7D77"/>
    <w:rsid w:val="7F855D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320" w:firstLineChars="100"/>
      <w:jc w:val="both"/>
    </w:pPr>
    <w:rPr>
      <w:rFonts w:ascii="仿宋_GB2312" w:hAnsi="宋体" w:eastAsia="仿宋_GB2312" w:cs="宋体"/>
      <w:kern w:val="2"/>
      <w:sz w:val="32"/>
      <w:szCs w:val="32"/>
      <w:lang w:val="en-US" w:eastAsia="zh-CN" w:bidi="ar-SA"/>
    </w:rPr>
  </w:style>
  <w:style w:type="paragraph" w:styleId="2">
    <w:name w:val="heading 1"/>
    <w:basedOn w:val="1"/>
    <w:next w:val="1"/>
    <w:autoRedefine/>
    <w:qFormat/>
    <w:uiPriority w:val="0"/>
    <w:pPr>
      <w:keepNext/>
      <w:keepLines/>
      <w:spacing w:before="340" w:after="330" w:line="1400" w:lineRule="exact"/>
      <w:jc w:val="center"/>
      <w:outlineLvl w:val="0"/>
    </w:pPr>
    <w:rPr>
      <w:b/>
      <w:kern w:val="44"/>
      <w:sz w:val="2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toa heading"/>
    <w:basedOn w:val="1"/>
    <w:next w:val="1"/>
    <w:autoRedefine/>
    <w:qFormat/>
    <w:uiPriority w:val="0"/>
    <w:pPr>
      <w:spacing w:before="120" w:after="100" w:afterAutospacing="1"/>
    </w:pPr>
    <w:rPr>
      <w:rFonts w:asciiTheme="minorEastAsia" w:hAnsiTheme="minorEastAsia" w:eastAsiaTheme="minorEastAsia"/>
    </w:rPr>
  </w:style>
  <w:style w:type="paragraph" w:styleId="4">
    <w:name w:val="annotation text"/>
    <w:basedOn w:val="1"/>
    <w:autoRedefine/>
    <w:qFormat/>
    <w:uiPriority w:val="0"/>
    <w:pPr>
      <w:jc w:val="left"/>
    </w:pPr>
  </w:style>
  <w:style w:type="paragraph" w:styleId="5">
    <w:name w:val="Body Text"/>
    <w:basedOn w:val="1"/>
    <w:autoRedefine/>
    <w:unhideWhenUsed/>
    <w:qFormat/>
    <w:uiPriority w:val="1"/>
    <w:pPr>
      <w:spacing w:after="12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qFormat/>
    <w:uiPriority w:val="0"/>
    <w:pPr>
      <w:spacing w:beforeAutospacing="1" w:afterAutospacing="1"/>
      <w:jc w:val="left"/>
    </w:pPr>
    <w:rPr>
      <w:kern w:val="0"/>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表格文字"/>
    <w:basedOn w:val="1"/>
    <w:next w:val="5"/>
    <w:autoRedefine/>
    <w:qFormat/>
    <w:uiPriority w:val="0"/>
    <w:pPr>
      <w:spacing w:before="25" w:after="25"/>
    </w:pPr>
    <w:rPr>
      <w:bCs/>
      <w:spacing w:val="10"/>
      <w:szCs w:val="20"/>
    </w:rPr>
  </w:style>
  <w:style w:type="paragraph" w:customStyle="1" w:styleId="13">
    <w:name w:val="3二左"/>
    <w:basedOn w:val="14"/>
    <w:autoRedefine/>
    <w:qFormat/>
    <w:uiPriority w:val="0"/>
    <w:pPr>
      <w:spacing w:line="560" w:lineRule="exact"/>
      <w:ind w:firstLine="643"/>
      <w:jc w:val="left"/>
      <w:outlineLvl w:val="1"/>
    </w:pPr>
    <w:rPr>
      <w:rFonts w:ascii="楷体_GB2312" w:eastAsia="楷体_GB2312"/>
      <w:b/>
      <w:bCs/>
    </w:r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ind w:firstLine="640" w:firstLineChars="200"/>
      <w:jc w:val="both"/>
    </w:pPr>
    <w:rPr>
      <w:rFonts w:ascii="仿宋_GB2312" w:hAnsi="仿宋_GB2312" w:eastAsia="仿宋_GB2312" w:cs="仿宋_GB2312"/>
      <w:kern w:val="2"/>
      <w:sz w:val="32"/>
      <w:szCs w:val="32"/>
      <w:lang w:val="en-US" w:eastAsia="zh-CN" w:bidi="ar-SA"/>
    </w:rPr>
  </w:style>
  <w:style w:type="paragraph" w:customStyle="1" w:styleId="15">
    <w:name w:val="4（三）左"/>
    <w:basedOn w:val="14"/>
    <w:autoRedefine/>
    <w:qFormat/>
    <w:uiPriority w:val="0"/>
    <w:pPr>
      <w:spacing w:line="560" w:lineRule="exact"/>
      <w:ind w:left="272" w:leftChars="85" w:firstLine="135" w:firstLineChars="42"/>
    </w:pPr>
    <w:rPr>
      <w:rFonts w:ascii="楷体" w:hAnsi="楷体" w:eastAsia="楷体" w:cs="楷体"/>
      <w:b/>
      <w:bCs/>
    </w:rPr>
  </w:style>
  <w:style w:type="paragraph" w:customStyle="1" w:styleId="16">
    <w:name w:val="6正文黑标"/>
    <w:basedOn w:val="1"/>
    <w:autoRedefine/>
    <w:qFormat/>
    <w:uiPriority w:val="0"/>
    <w:pPr>
      <w:spacing w:beforeLines="50" w:afterLines="50" w:line="360" w:lineRule="auto"/>
      <w:ind w:firstLine="723" w:firstLineChars="300"/>
    </w:pPr>
    <w:rPr>
      <w:rFonts w:ascii="新宋体" w:hAnsi="新宋体" w:eastAsia="新宋体"/>
      <w:b/>
      <w:bCs/>
      <w:sz w:val="24"/>
      <w:szCs w:val="24"/>
    </w:rPr>
  </w:style>
  <w:style w:type="paragraph" w:customStyle="1" w:styleId="17">
    <w:name w:val="正文缩进_0"/>
    <w:basedOn w:val="18"/>
    <w:autoRedefine/>
    <w:qFormat/>
    <w:uiPriority w:val="0"/>
    <w:pPr>
      <w:ind w:firstLine="420" w:firstLineChars="200"/>
    </w:pPr>
    <w:rPr>
      <w:rFonts w:ascii="Times New Roman" w:hAnsi="Times New Roman"/>
      <w:szCs w:val="24"/>
    </w:rPr>
  </w:style>
  <w:style w:type="paragraph" w:customStyle="1" w:styleId="18">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4左"/>
    <w:basedOn w:val="1"/>
    <w:autoRedefine/>
    <w:qFormat/>
    <w:uiPriority w:val="0"/>
    <w:pPr>
      <w:spacing w:beforeLines="80" w:afterLines="40" w:line="360" w:lineRule="auto"/>
      <w:ind w:right="96" w:rightChars="30" w:firstLine="803"/>
      <w:jc w:val="left"/>
      <w:outlineLvl w:val="5"/>
    </w:pPr>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AE671-C589-4B64-9B85-477606BF2C7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19</Pages>
  <Words>8106</Words>
  <Characters>8288</Characters>
  <Lines>138</Lines>
  <Paragraphs>38</Paragraphs>
  <TotalTime>10</TotalTime>
  <ScaleCrop>false</ScaleCrop>
  <LinksUpToDate>false</LinksUpToDate>
  <CharactersWithSpaces>8318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2024-03-27T05:24:00Z</dcterms:created>
  <dc:creator>Administrator</dc:creator>
  <cp:lastModifiedBy>赖达权</cp:lastModifiedBy>
  <cp:lastPrinted>2025-10-28T02:41:00Z</cp:lastPrinted>
  <dcterms:modified xsi:type="dcterms:W3CDTF">2026-01-09T02:40:01Z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476ECF678F9B4BBBB37AAAE1A2963E49_13</vt:lpwstr>
  </property>
  <property fmtid="{D5CDD505-2E9C-101B-9397-08002B2CF9AE}" pid="4" name="KSOTemplateDocerSaveRecord">
    <vt:lpwstr>eyJoZGlkIjoiYWRiNjlkY2ExYjc0Y2QzMGFkMDliMjFkNmY5MDQ2NTAiLCJ1c2VySWQiOiI3MzI1Mzk2MzEifQ==</vt:lpwstr>
  </property>
</Properties>
</file>