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20897">
      <w:pPr>
        <w:keepNext w:val="0"/>
        <w:keepLines w:val="0"/>
        <w:pageBreakBefore w:val="0"/>
        <w:widowControl/>
        <w:suppressLineNumbers w:val="0"/>
        <w:kinsoku/>
        <w:wordWrap/>
        <w:overflowPunct/>
        <w:autoSpaceDE/>
        <w:autoSpaceDN/>
        <w:bidi w:val="0"/>
        <w:adjustRightInd/>
        <w:spacing w:line="6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  <w:t>技术参数要求</w:t>
      </w:r>
    </w:p>
    <w:p w14:paraId="4EC10735">
      <w:pPr>
        <w:keepNext w:val="0"/>
        <w:keepLines w:val="0"/>
        <w:pageBreakBefore w:val="0"/>
        <w:widowControl/>
        <w:suppressLineNumbers w:val="0"/>
        <w:kinsoku/>
        <w:wordWrap/>
        <w:overflowPunct/>
        <w:autoSpaceDE/>
        <w:autoSpaceDN/>
        <w:bidi w:val="0"/>
        <w:adjustRightInd/>
        <w:spacing w:line="600" w:lineRule="exact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>（一）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  <w:t>特定电磁波治疗仪</w:t>
      </w:r>
    </w:p>
    <w:p w14:paraId="608035B2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1、产品功能电磁波+ 红外线+ 经络穴位刺激（加长支臂≥3 段式调节）</w:t>
      </w:r>
    </w:p>
    <w:p w14:paraId="0F3C9DE7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2、额定功率： ≥250W</w:t>
      </w:r>
    </w:p>
    <w:p w14:paraId="348ACB90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3、电压频率： ≥220V/50HZ；</w:t>
      </w:r>
    </w:p>
    <w:p w14:paraId="39111DFC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4、伸展范围：支臂伸展≥600mm,立柱高度≥430mm</w:t>
      </w:r>
    </w:p>
    <w:p w14:paraId="1AAFC299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5、定时器时间范围：0min～60min</w:t>
      </w:r>
    </w:p>
    <w:p w14:paraId="5EA01C34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6、智能过热保护</w:t>
      </w:r>
    </w:p>
    <w:p w14:paraId="451A7E48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7、灯头：≥360度旋转</w:t>
      </w:r>
    </w:p>
    <w:p w14:paraId="0B9F4275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8、光谱波长范围：2um-25um</w:t>
      </w:r>
    </w:p>
    <w:p w14:paraId="106965D3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9、元素板寿命： ≥1000小时</w:t>
      </w:r>
    </w:p>
    <w:p w14:paraId="5BB07E83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10、加热器寿命： ≥2000小时</w:t>
      </w:r>
    </w:p>
    <w:p w14:paraId="534514FF">
      <w:pPr>
        <w:keepNext w:val="0"/>
        <w:keepLines w:val="0"/>
        <w:pageBreakBefore w:val="0"/>
        <w:widowControl/>
        <w:suppressLineNumbers w:val="0"/>
        <w:kinsoku/>
        <w:wordWrap/>
        <w:overflowPunct/>
        <w:autoSpaceDE/>
        <w:autoSpaceDN/>
        <w:bidi w:val="0"/>
        <w:adjustRightInd/>
        <w:spacing w:line="600" w:lineRule="exact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>（二）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  <w:t>电子针疗仪</w:t>
      </w:r>
    </w:p>
    <w:p w14:paraId="315604BD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1、使用电源：AC220V±22V、50Hz±1Hz；</w:t>
      </w:r>
    </w:p>
    <w:p w14:paraId="067DE161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2、输入功率：≤50VA；</w:t>
      </w:r>
    </w:p>
    <w:p w14:paraId="0BF6BFCF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3、脉冲宽度：0.08ms～0.6ms；</w:t>
      </w:r>
    </w:p>
    <w:p w14:paraId="2DBD800D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4、电针工作频率：2Hz、10Hz、50Hz、100Hz、循环频率等；</w:t>
      </w:r>
    </w:p>
    <w:p w14:paraId="2B80011F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5、电针脉冲幅度：≤150V（负载250Ω/500Ω）；</w:t>
      </w:r>
    </w:p>
    <w:p w14:paraId="446D3EE0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6、定时时间：15、30、45分钟等；</w:t>
      </w:r>
    </w:p>
    <w:p w14:paraId="749DF616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7、输出波形：双向对称窄方波，脉冲宽度自动变化；</w:t>
      </w:r>
    </w:p>
    <w:p w14:paraId="22345829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8、至少两种治疗模式可适用于不同应用情况；</w:t>
      </w:r>
    </w:p>
    <w:p w14:paraId="716FB8BD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9、电针输出通道数：≥6通道输出，每通道可单独控制；</w:t>
      </w:r>
    </w:p>
    <w:p w14:paraId="5977777C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10、显示方式：LED指示灯；</w:t>
      </w:r>
    </w:p>
    <w:p w14:paraId="0ABE2640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11、样式：便携台式。</w:t>
      </w:r>
    </w:p>
    <w:p w14:paraId="7B70237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11" w:firstLineChars="10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>（三）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  <w:t>简易呼吸器</w:t>
      </w:r>
    </w:p>
    <w:p w14:paraId="27626580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1、成人型规格，适用于体重≥30Kg 人群</w:t>
      </w:r>
    </w:p>
    <w:p w14:paraId="3046A392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2、按压体积（最小输送容量）≥500ml</w:t>
      </w:r>
    </w:p>
    <w:p w14:paraId="0D8A2A5D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3、限压阀压力：60cmH 2 0±5 cmH 2 0</w:t>
      </w:r>
    </w:p>
    <w:p w14:paraId="1590954D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4、呼/吸气阻抗≤50cmH 2 0</w:t>
      </w:r>
    </w:p>
    <w:p w14:paraId="0879F73C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5、球囊容积：≥1600ml</w:t>
      </w:r>
    </w:p>
    <w:p w14:paraId="1218EDA4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6、整体可经环氧乙烷灭菌；除去氧气管和储气袋，硅胶材质球囊、面罩及其他阀体部分可经 121℃湿热蒸汽灭菌</w:t>
      </w:r>
    </w:p>
    <w:p w14:paraId="05FFB27B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7、配备储氧袋、连接管、牙垫、成人及儿童面罩</w:t>
      </w:r>
    </w:p>
    <w:p w14:paraId="4F289DA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11" w:firstLineChars="10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  <w:t>（四）中频治疗仪</w:t>
      </w:r>
    </w:p>
    <w:p w14:paraId="5019AFBB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1、额定输入功率： 130VA。</w:t>
      </w:r>
    </w:p>
    <w:p w14:paraId="2920DF40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 电压： 220V±22V ，频率 50Hz±1Hz。</w:t>
      </w:r>
    </w:p>
    <w:p w14:paraId="54E32238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3、尺寸：380× 310 × 120mm，允差±20mm。</w:t>
      </w:r>
    </w:p>
    <w:p w14:paraId="6C47A695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4、显示方式 ：7 寸液晶显示。</w:t>
      </w:r>
    </w:p>
    <w:p w14:paraId="6DD39C06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5、输出通道 ：两路中频加透热输出、两路离子导入直流输出、一路干扰电输出。</w:t>
      </w:r>
    </w:p>
    <w:p w14:paraId="2AEA389A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6、中频频率：2kHz～ 10kHz，单一频率允差± 10％。</w:t>
      </w:r>
    </w:p>
    <w:p w14:paraId="1ABAACED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7、调制频率：0～ 150Hz，单一频率允差±10%或±1Hz 取大值。</w:t>
      </w:r>
    </w:p>
    <w:p w14:paraId="7B9AB8E1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8、 中频载波波形 ：双向方波 ，脉宽 50us ~? 250us ，允差±10％ 。调制波形 ：正弦波、方波、三角波、指数波、锯齿波、尖波等幅波。调制方式：连续、断续、间歇、变频、疏密和交替调制。</w:t>
      </w:r>
    </w:p>
    <w:p w14:paraId="602FFEA9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9、 中频调幅度 ：0%、 25%、 50%、75%、 100% ，允差±5％。</w:t>
      </w:r>
    </w:p>
    <w:p w14:paraId="5CF6930C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10、处方： 60 个。</w:t>
      </w:r>
    </w:p>
    <w:p w14:paraId="0C590912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11、中频输出电流：在 500Ω的负载下，每路输出电流不大于 100mA。输出强度分 0 ～99级可调。</w:t>
      </w:r>
    </w:p>
    <w:p w14:paraId="73C2BF06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13、干扰电</w:t>
      </w:r>
    </w:p>
    <w:p w14:paraId="235F3546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13.1 工作频率 ：4kHz ，允差±10％。</w:t>
      </w:r>
    </w:p>
    <w:p w14:paraId="0C79363C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13.2 调制频率 ：0.125Hz ，允差±10％。</w:t>
      </w:r>
    </w:p>
    <w:p w14:paraId="0E6511B8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13.3 差频频率范围 ：0～ 112Hz ，允差±10%或±1Hz 取较大值。</w:t>
      </w:r>
    </w:p>
    <w:p w14:paraId="2C89499F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14、输出电流稳定度：不同负载下的输出电流变化率应不大于 10%。</w:t>
      </w:r>
    </w:p>
    <w:p w14:paraId="267D2A36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15、中频输出峰值电压：在开路条件下测量时，中频输出峰值电压不得超过 500V。</w:t>
      </w:r>
    </w:p>
    <w:p w14:paraId="5EBA8C54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16、离子导入输出直流电流：在 500Ω的负载下 ，每路输出电流不超过 50mA ，分 0～99级可调。</w:t>
      </w:r>
    </w:p>
    <w:p w14:paraId="73255798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17、电极板温度： 38 ～55℃ , 6 档可调 ，允差±3℃。</w:t>
      </w:r>
    </w:p>
    <w:p w14:paraId="107BF31E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18、治疗时间内置于处方中，治疗结束有声音提示。</w:t>
      </w:r>
    </w:p>
    <w:p w14:paraId="36E837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11" w:firstLineChars="10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>（五）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  <w:t>颈椎牵引椅</w:t>
      </w:r>
    </w:p>
    <w:p w14:paraId="714FB3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1、电源电压：交流220V±22V、频率50Hz±1Hz。</w:t>
      </w:r>
    </w:p>
    <w:p w14:paraId="2C32303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2、额定输入功率：40VA。</w:t>
      </w:r>
    </w:p>
    <w:p w14:paraId="4E4F63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3、颈椎牵引力：0～200N。</w:t>
      </w:r>
    </w:p>
    <w:p w14:paraId="1E721D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4、颈椎牵引行程：0～500mm，允差±20mm。</w:t>
      </w:r>
    </w:p>
    <w:p w14:paraId="42721A6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5、微动开关控制电动颈椎牵引机。</w:t>
      </w:r>
    </w:p>
    <w:p w14:paraId="194E2D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6、通过微动开关可设定牵引力、牵引行程、牵引时间及牵引复位功能。</w:t>
      </w:r>
    </w:p>
    <w:p w14:paraId="309E72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7、患者与医务人员均可控制牵引力大小，操作方便。</w:t>
      </w:r>
    </w:p>
    <w:p w14:paraId="00942E2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8、牵引力采用管形测力计显示拉力。</w:t>
      </w:r>
    </w:p>
    <w:p w14:paraId="22FA99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9、采用蜗轮蜗杆减速电机为动力源，点动开关，操作方便。</w:t>
      </w:r>
    </w:p>
    <w:p w14:paraId="1EA7A94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10、牵引力自动补偿功能。</w:t>
      </w:r>
    </w:p>
    <w:p w14:paraId="2FBA95A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11、颈椎牵引曲度可以调节。</w:t>
      </w:r>
    </w:p>
    <w:p w14:paraId="48A1A0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  <w:t>（六）腰椎牵引床</w:t>
      </w:r>
    </w:p>
    <w:p w14:paraId="6BBEB94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1、电源电压：AC 220±22V，50Hz±1Hz。</w:t>
      </w:r>
    </w:p>
    <w:p w14:paraId="4DC37F0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2、额定输入功率：40VA。</w:t>
      </w:r>
    </w:p>
    <w:p w14:paraId="2FCE601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3、腰椎牵引行程：0～200mm，允差±10mm。</w:t>
      </w:r>
    </w:p>
    <w:p w14:paraId="795901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4、腰椎牵引力：0～990N，级差10N。</w:t>
      </w:r>
    </w:p>
    <w:p w14:paraId="40F9406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5、数码管显示牵引拉力。</w:t>
      </w:r>
    </w:p>
    <w:p w14:paraId="3B85564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6、电动控制、微动开关控制牵引力，拉力以患者耐受为宜。</w:t>
      </w:r>
    </w:p>
    <w:p w14:paraId="4831AE2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7、牵引时间由医患自定。</w:t>
      </w:r>
    </w:p>
    <w:p w14:paraId="56FAF73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8、手动开关实现人为的自动间歇牵引、持续牵引、反复牵引。</w:t>
      </w:r>
    </w:p>
    <w:p w14:paraId="4202624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9、配有应急复位线控手柄开关，牵引时可随时解除牵引力，并恢复到初始状态。</w:t>
      </w:r>
    </w:p>
    <w:p w14:paraId="33A646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10、多种安全设计（最大牵引力990N，患者应急复位线控手柄开关、医务人员操作急退键）。</w:t>
      </w:r>
    </w:p>
    <w:p w14:paraId="757F41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>（七）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  <w:t>全自动凝血分析仪</w:t>
      </w:r>
    </w:p>
    <w:p w14:paraId="2D7DB5E0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1、检测原理：采用光学凝固法、免疫比浊法、发色底物法3种方法学进行检测。</w:t>
      </w:r>
    </w:p>
    <w:p w14:paraId="3567F327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2、测试项目：包括但不限于PT、APTT、TT、Fib、FDP、D-Dimer、AT-III等。</w:t>
      </w:r>
    </w:p>
    <w:p w14:paraId="617D20BF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3、速度要求：凝血四项：≥120测试/小时、凝血五项：≥110测试/小时、凝血七项：≥100测试/小时。</w:t>
      </w:r>
    </w:p>
    <w:p w14:paraId="75315207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4、检测通道：凝固法检测通道≥8个、免疫比浊法检测通道≥8个、发色底物法检测通道≥8个。</w:t>
      </w:r>
    </w:p>
    <w:p w14:paraId="22569FAC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5、检测波长：检测波长≥4种。</w:t>
      </w:r>
    </w:p>
    <w:p w14:paraId="7C67B887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6、样本位：免人工干预 ，支持采血管的条码扫描功能，可不停机无限装载。</w:t>
      </w:r>
    </w:p>
    <w:p w14:paraId="55676B51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7、试剂位：≥24个。</w:t>
      </w:r>
    </w:p>
    <w:p w14:paraId="60A768C3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8、吸样针：具有立体防撞、液面感应以及温度自动补偿功能。</w:t>
      </w:r>
    </w:p>
    <w:p w14:paraId="10C4362B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9、急诊位：≥25个。</w:t>
      </w:r>
    </w:p>
    <w:p w14:paraId="0EFC593C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10、耗材种类：可提供浓缩型冲洗液稀释后使用。</w:t>
      </w:r>
    </w:p>
    <w:p w14:paraId="527609E7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11、纠正实验：具备自动化APTT纠正实验。</w:t>
      </w:r>
    </w:p>
    <w:p w14:paraId="55FA6563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12、报警功能：参考范围的报警与提示；自动重稀释分析及报警提示；自动筛选测试及提示 。</w:t>
      </w:r>
    </w:p>
    <w:p w14:paraId="56480976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13、反应曲线：任意项目都可查看反应曲线，分析测试状态；具多倍稀释功能（MDA）、凝固曲线波形分析功能(CWA)。</w:t>
      </w:r>
    </w:p>
    <w:p w14:paraId="5A040376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14、连锁功能:开盖即停，发现问题及时处理。</w:t>
      </w:r>
    </w:p>
    <w:p w14:paraId="4EEF407D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15、软件功能:配有中文操作系统，图形显示，操作方便；数据传输:支持LIS/HIS双向通讯，具备单机LIS功能，可自动打印报告。</w:t>
      </w:r>
    </w:p>
    <w:p w14:paraId="4396611B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16、质控体系:具有L-J 及Westgard 质控功能。</w:t>
      </w:r>
    </w:p>
    <w:p w14:paraId="4F997A0F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17、设备使用开放试剂。</w:t>
      </w:r>
    </w:p>
    <w:p w14:paraId="74ACDB6F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18、需连接医院LIS系统。</w:t>
      </w:r>
    </w:p>
    <w:p w14:paraId="2B4A3E74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line="600" w:lineRule="exact"/>
        <w:ind w:firstLine="210" w:firstLineChars="100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19、设备交付时，其出厂日期距交付日期不应超过6个月。</w:t>
      </w:r>
      <w:bookmarkStart w:id="0" w:name="_GoBack"/>
      <w:bookmarkEnd w:id="0"/>
    </w:p>
    <w:p w14:paraId="5BA54F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30" w:firstLineChars="3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</w:pPr>
    </w:p>
    <w:p w14:paraId="61CD60B6">
      <w:pPr>
        <w:keepNext w:val="0"/>
        <w:keepLines w:val="0"/>
        <w:pageBreakBefore w:val="0"/>
        <w:widowControl/>
        <w:suppressLineNumbers w:val="0"/>
        <w:kinsoku/>
        <w:wordWrap/>
        <w:overflowPunct/>
        <w:autoSpaceDE/>
        <w:autoSpaceDN/>
        <w:bidi w:val="0"/>
        <w:adjustRightInd/>
        <w:spacing w:line="600" w:lineRule="exact"/>
        <w:jc w:val="right"/>
        <w:textAlignment w:val="auto"/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61AED8">
    <w:pPr>
      <w:pStyle w:val="7"/>
    </w:pPr>
  </w:p>
  <w:p w14:paraId="0B94C0C8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458190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458190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A4E6B">
    <w:pPr>
      <w:pStyle w:val="8"/>
    </w:pPr>
  </w:p>
  <w:p w14:paraId="0CC3035B">
    <w:pPr>
      <w:pStyle w:val="8"/>
    </w:pPr>
  </w:p>
  <w:p w14:paraId="7497A39A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jZjQxZTBmYmJkMDAzNGQ4ZmJlNmE2OWVkYjQzZmEifQ=="/>
  </w:docVars>
  <w:rsids>
    <w:rsidRoot w:val="4B7B18FA"/>
    <w:rsid w:val="02844D1F"/>
    <w:rsid w:val="02C362F0"/>
    <w:rsid w:val="0591578B"/>
    <w:rsid w:val="05974327"/>
    <w:rsid w:val="05CD0053"/>
    <w:rsid w:val="09CF031F"/>
    <w:rsid w:val="0DC85C41"/>
    <w:rsid w:val="0FE4678E"/>
    <w:rsid w:val="14661880"/>
    <w:rsid w:val="14B01EC0"/>
    <w:rsid w:val="16B04415"/>
    <w:rsid w:val="19AD7F69"/>
    <w:rsid w:val="1A4A57A0"/>
    <w:rsid w:val="1A71349A"/>
    <w:rsid w:val="1B930A55"/>
    <w:rsid w:val="1BF46F59"/>
    <w:rsid w:val="1DA578BD"/>
    <w:rsid w:val="1DE17E9E"/>
    <w:rsid w:val="20FB77F4"/>
    <w:rsid w:val="222B5F00"/>
    <w:rsid w:val="224A61CC"/>
    <w:rsid w:val="24D44435"/>
    <w:rsid w:val="25D52D09"/>
    <w:rsid w:val="27395BBE"/>
    <w:rsid w:val="28702875"/>
    <w:rsid w:val="2DFD394F"/>
    <w:rsid w:val="2F634EE2"/>
    <w:rsid w:val="30E14C1F"/>
    <w:rsid w:val="315D6628"/>
    <w:rsid w:val="323C7542"/>
    <w:rsid w:val="345D3454"/>
    <w:rsid w:val="34DD207C"/>
    <w:rsid w:val="36FE3764"/>
    <w:rsid w:val="379069DC"/>
    <w:rsid w:val="38DF6EB2"/>
    <w:rsid w:val="3A8E7911"/>
    <w:rsid w:val="3B302403"/>
    <w:rsid w:val="3C0B2B58"/>
    <w:rsid w:val="3C642F13"/>
    <w:rsid w:val="43FD53EB"/>
    <w:rsid w:val="44A43B7B"/>
    <w:rsid w:val="48547EF4"/>
    <w:rsid w:val="48CB596F"/>
    <w:rsid w:val="4A8D4D93"/>
    <w:rsid w:val="4B7B18FA"/>
    <w:rsid w:val="4B8E6103"/>
    <w:rsid w:val="4D01434C"/>
    <w:rsid w:val="4D5A5DAB"/>
    <w:rsid w:val="4DA478AD"/>
    <w:rsid w:val="54FF095A"/>
    <w:rsid w:val="556A2277"/>
    <w:rsid w:val="5ACC1980"/>
    <w:rsid w:val="5BA2735F"/>
    <w:rsid w:val="5C6E4CF2"/>
    <w:rsid w:val="5E2D6537"/>
    <w:rsid w:val="612B1C29"/>
    <w:rsid w:val="63203FCA"/>
    <w:rsid w:val="637F7835"/>
    <w:rsid w:val="64BA2C80"/>
    <w:rsid w:val="674F751F"/>
    <w:rsid w:val="71E13469"/>
    <w:rsid w:val="756E4DDB"/>
    <w:rsid w:val="76FD2AF3"/>
    <w:rsid w:val="78BF256F"/>
    <w:rsid w:val="794C1B10"/>
    <w:rsid w:val="795207AB"/>
    <w:rsid w:val="79A731EA"/>
    <w:rsid w:val="79DF3DA8"/>
    <w:rsid w:val="7BA07B4F"/>
    <w:rsid w:val="7E0502B1"/>
    <w:rsid w:val="7EC6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unhideWhenUsed/>
    <w:qFormat/>
    <w:uiPriority w:val="1"/>
    <w:rPr>
      <w:rFonts w:hint="eastAsia"/>
      <w:b/>
      <w:sz w:val="21"/>
      <w:szCs w:val="24"/>
    </w:rPr>
  </w:style>
  <w:style w:type="paragraph" w:styleId="4">
    <w:name w:val="Body Text Indent"/>
    <w:basedOn w:val="1"/>
    <w:next w:val="5"/>
    <w:qFormat/>
    <w:uiPriority w:val="0"/>
    <w:pPr>
      <w:spacing w:line="360" w:lineRule="auto"/>
      <w:ind w:firstLine="570"/>
    </w:pPr>
    <w:rPr>
      <w:sz w:val="24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Plain Text"/>
    <w:basedOn w:val="1"/>
    <w:qFormat/>
    <w:uiPriority w:val="0"/>
    <w:rPr>
      <w:rFonts w:ascii="宋体" w:hAnsi="Courier New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4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character" w:styleId="14">
    <w:name w:val="annotation reference"/>
    <w:basedOn w:val="12"/>
    <w:qFormat/>
    <w:uiPriority w:val="0"/>
    <w:rPr>
      <w:sz w:val="21"/>
      <w:szCs w:val="21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Table Paragraph"/>
    <w:basedOn w:val="1"/>
    <w:unhideWhenUsed/>
    <w:qFormat/>
    <w:uiPriority w:val="1"/>
    <w:pPr>
      <w:spacing w:before="22"/>
      <w:ind w:left="107"/>
    </w:pPr>
    <w:rPr>
      <w:rFonts w:hint="eastAsia"/>
      <w:sz w:val="24"/>
      <w:szCs w:val="24"/>
    </w:rPr>
  </w:style>
  <w:style w:type="paragraph" w:customStyle="1" w:styleId="17">
    <w:name w:val="列出段落1"/>
    <w:basedOn w:val="1"/>
    <w:unhideWhenUsed/>
    <w:qFormat/>
    <w:uiPriority w:val="99"/>
    <w:pPr>
      <w:ind w:firstLine="420" w:firstLineChars="200"/>
    </w:pPr>
    <w:rPr>
      <w:rFonts w:asciiTheme="minorHAnsi" w:hAnsiTheme="minorHAnsi" w:eastAsiaTheme="minorEastAsia" w:cstheme="minorBidi"/>
    </w:rPr>
  </w:style>
  <w:style w:type="paragraph" w:customStyle="1" w:styleId="18">
    <w:name w:val="表格正文文字"/>
    <w:basedOn w:val="1"/>
    <w:autoRedefine/>
    <w:qFormat/>
    <w:uiPriority w:val="0"/>
    <w:pPr>
      <w:autoSpaceDE w:val="0"/>
      <w:autoSpaceDN w:val="0"/>
      <w:adjustRightInd w:val="0"/>
      <w:snapToGrid w:val="0"/>
      <w:spacing w:after="0" w:afterLines="0" w:line="240" w:lineRule="auto"/>
      <w:ind w:left="105" w:leftChars="50" w:firstLine="0" w:firstLineChars="0"/>
      <w:jc w:val="left"/>
    </w:pPr>
    <w:rPr>
      <w:rFonts w:hint="eastAsia" w:ascii="微软雅黑" w:hAnsi="微软雅黑" w:eastAsia="微软雅黑" w:cs="Arial"/>
      <w:szCs w:val="21"/>
    </w:rPr>
  </w:style>
  <w:style w:type="paragraph" w:customStyle="1" w:styleId="19">
    <w:name w:val="msolistparagraph"/>
    <w:basedOn w:val="1"/>
    <w:autoRedefine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20">
    <w:name w:val="Q/19LGT01—2001"/>
    <w:basedOn w:val="1"/>
    <w:qFormat/>
    <w:uiPriority w:val="0"/>
    <w:pPr>
      <w:tabs>
        <w:tab w:val="left" w:pos="420"/>
        <w:tab w:val="left" w:pos="555"/>
      </w:tabs>
      <w:spacing w:line="360" w:lineRule="auto"/>
      <w:ind w:left="435" w:leftChars="150" w:hanging="120" w:hangingChars="50"/>
    </w:pPr>
    <w:rPr>
      <w:rFonts w:ascii="宋体" w:hAnsi="宋体"/>
      <w:bCs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1942</Words>
  <Characters>2301</Characters>
  <Lines>0</Lines>
  <Paragraphs>0</Paragraphs>
  <TotalTime>115</TotalTime>
  <ScaleCrop>false</ScaleCrop>
  <LinksUpToDate>false</LinksUpToDate>
  <CharactersWithSpaces>2382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2024-10-07T03:29:00Z</dcterms:created>
  <dc:creator>Leo</dc:creator>
  <cp:lastModifiedBy>Leo</cp:lastModifiedBy>
  <cp:lastPrinted>2024-11-15T07:46:00Z</cp:lastPrinted>
  <dcterms:modified xsi:type="dcterms:W3CDTF">2025-09-30T02:08:46Z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2110B6DFE3EA46D0AD70E46E81540F6F_13</vt:lpwstr>
  </property>
  <property fmtid="{D5CDD505-2E9C-101B-9397-08002B2CF9AE}" pid="4" name="KSOTemplateDocerSaveRecord">
    <vt:lpwstr>eyJoZGlkIjoiYzAwNjE2MzZhNjljNDE1NDVkNDI2OWEzMWJhMWY3MTEiLCJ1c2VySWQiOiI3NjE0NTU4NTcifQ==</vt:lpwstr>
  </property>
</Properties>
</file>