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C19A2">
      <w:pPr>
        <w:widowControl/>
        <w:shd w:val="clear" w:color="auto" w:fill="FFFFFF"/>
        <w:spacing w:line="600" w:lineRule="exact"/>
        <w:ind w:left="0" w:leftChars="0" w:firstLine="0" w:firstLineChars="0"/>
        <w:jc w:val="center"/>
        <w:textAlignment w:val="baseline"/>
        <w:rPr>
          <w:rFonts w:hint="eastAsia" w:ascii="方正小标宋简体" w:hAnsi="方正小标宋简体" w:eastAsia="方正小标宋简体" w:cs="方正小标宋简体"/>
          <w:kern w:val="0"/>
          <w:sz w:val="44"/>
          <w:szCs w:val="44"/>
          <w:shd w:val="clear" w:color="auto" w:fill="FFFFFF"/>
        </w:rPr>
      </w:pPr>
      <w:bookmarkStart w:id="0" w:name="_Hlk190872834"/>
      <w:r>
        <w:rPr>
          <w:rFonts w:hint="eastAsia" w:ascii="方正小标宋简体" w:hAnsi="方正小标宋简体" w:eastAsia="方正小标宋简体" w:cs="方正小标宋简体"/>
          <w:kern w:val="0"/>
          <w:sz w:val="44"/>
          <w:szCs w:val="44"/>
          <w:shd w:val="clear" w:color="auto" w:fill="FFFFFF"/>
        </w:rPr>
        <w:t>郁南县人民医院</w:t>
      </w:r>
      <w:r>
        <w:rPr>
          <w:rFonts w:hint="eastAsia" w:ascii="方正小标宋简体" w:hAnsi="方正小标宋简体" w:eastAsia="方正小标宋简体" w:cs="方正小标宋简体"/>
          <w:sz w:val="44"/>
          <w:szCs w:val="44"/>
          <w:lang w:val="en-US" w:eastAsia="zh-CN"/>
        </w:rPr>
        <w:t>信息化能力提升（一期)</w:t>
      </w:r>
      <w:r>
        <w:rPr>
          <w:rFonts w:hint="eastAsia" w:ascii="方正小标宋简体" w:hAnsi="方正小标宋简体" w:eastAsia="方正小标宋简体" w:cs="方正小标宋简体"/>
          <w:kern w:val="0"/>
          <w:sz w:val="44"/>
          <w:szCs w:val="44"/>
          <w:shd w:val="clear" w:color="auto" w:fill="FFFFFF"/>
        </w:rPr>
        <w:t>要求</w:t>
      </w:r>
      <w:bookmarkEnd w:id="0"/>
    </w:p>
    <w:p w14:paraId="1EA19797">
      <w:pPr>
        <w:spacing w:before="0" w:beforeLines="0" w:line="24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我院自2012年开始着重对医疗信息化进行建设，经过多年的不断建设和发展，医院主要业务</w:t>
      </w:r>
      <w:bookmarkStart w:id="1" w:name="OLE_LINK2"/>
      <w:r>
        <w:rPr>
          <w:rFonts w:hint="eastAsia" w:ascii="仿宋_GB2312" w:hAnsi="仿宋_GB2312" w:eastAsia="仿宋_GB2312" w:cs="仿宋_GB2312"/>
          <w:sz w:val="32"/>
          <w:szCs w:val="32"/>
        </w:rPr>
        <w:t>条线</w:t>
      </w:r>
      <w:bookmarkEnd w:id="1"/>
      <w:r>
        <w:rPr>
          <w:rFonts w:hint="eastAsia" w:ascii="仿宋_GB2312" w:hAnsi="仿宋_GB2312" w:eastAsia="仿宋_GB2312" w:cs="仿宋_GB2312"/>
          <w:sz w:val="32"/>
          <w:szCs w:val="32"/>
        </w:rPr>
        <w:t>都已有相关的应用系统。建设了包括HIS、LIS、PACS、电子病历、临床路径、合理用药、院感、体检等系统，能够对医疗服务进行质量安全管理，并为管理者提供部分管理决策支持，一定程度上实现了管理的流程化、业务的电子化、数据统计的智能化，对提高医院的效益、提升医院服务能力起到了重要作用，功不可没。但是随着国家政策的推出、医院发展需求及信息化的发展趋势，问题逐渐突显，因此，需要完善系统功能及相关业务系统的增加，以整体视角和大局观，来实现医院内部对流程的持续优化和再造，以逐步满足国产化、电子病历四级</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及互联互通四</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rPr>
        <w:t>的需求。</w:t>
      </w:r>
    </w:p>
    <w:p w14:paraId="1045625E">
      <w:pPr>
        <w:spacing w:before="0" w:beforeLines="0" w:line="240" w:lineRule="auto"/>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一、软件</w:t>
      </w:r>
      <w:r>
        <w:rPr>
          <w:rFonts w:hint="eastAsia" w:ascii="仿宋_GB2312" w:hAnsi="仿宋_GB2312" w:eastAsia="仿宋_GB2312" w:cs="仿宋_GB2312"/>
          <w:sz w:val="32"/>
          <w:szCs w:val="32"/>
        </w:rPr>
        <w:t>系统及功能需求（需提供配套设备</w:t>
      </w:r>
      <w:r>
        <w:rPr>
          <w:rFonts w:hint="eastAsia" w:ascii="仿宋_GB2312" w:hAnsi="仿宋_GB2312" w:eastAsia="仿宋_GB2312" w:cs="仿宋_GB2312"/>
          <w:sz w:val="32"/>
          <w:szCs w:val="32"/>
          <w:lang w:val="en-US" w:eastAsia="zh-CN"/>
        </w:rPr>
        <w:t>清单及报价</w:t>
      </w:r>
      <w:r>
        <w:rPr>
          <w:rFonts w:hint="eastAsia" w:ascii="仿宋_GB2312" w:hAnsi="仿宋_GB2312" w:eastAsia="仿宋_GB2312" w:cs="仿宋_GB2312"/>
          <w:sz w:val="32"/>
          <w:szCs w:val="32"/>
        </w:rPr>
        <w:t>）：</w:t>
      </w:r>
    </w:p>
    <w:tbl>
      <w:tblPr>
        <w:tblStyle w:val="22"/>
        <w:tblW w:w="14498" w:type="dxa"/>
        <w:tblInd w:w="0" w:type="dxa"/>
        <w:tblLayout w:type="fixed"/>
        <w:tblCellMar>
          <w:top w:w="0" w:type="dxa"/>
          <w:left w:w="108" w:type="dxa"/>
          <w:bottom w:w="0" w:type="dxa"/>
          <w:right w:w="108" w:type="dxa"/>
        </w:tblCellMar>
      </w:tblPr>
      <w:tblGrid>
        <w:gridCol w:w="783"/>
        <w:gridCol w:w="2369"/>
        <w:gridCol w:w="9288"/>
        <w:gridCol w:w="2058"/>
      </w:tblGrid>
      <w:tr w14:paraId="321FE739">
        <w:tblPrEx>
          <w:tblCellMar>
            <w:top w:w="0" w:type="dxa"/>
            <w:left w:w="108" w:type="dxa"/>
            <w:bottom w:w="0" w:type="dxa"/>
            <w:right w:w="108" w:type="dxa"/>
          </w:tblCellMar>
        </w:tblPrEx>
        <w:trPr>
          <w:trHeight w:val="465" w:hRule="atLeast"/>
          <w:tblHeader/>
        </w:trPr>
        <w:tc>
          <w:tcPr>
            <w:tcW w:w="7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075E5">
            <w:pPr>
              <w:widowControl/>
              <w:autoSpaceDE/>
              <w:autoSpaceDN/>
              <w:spacing w:before="0" w:beforeLines="0" w:line="240" w:lineRule="auto"/>
              <w:ind w:firstLine="0" w:firstLineChars="0"/>
              <w:jc w:val="center"/>
              <w:rPr>
                <w:rFonts w:hint="eastAsia" w:ascii="仿宋_GB2312" w:hAnsi="仿宋_GB2312" w:eastAsia="仿宋_GB2312" w:cs="仿宋_GB2312"/>
                <w:b/>
                <w:bCs/>
                <w:color w:val="000000"/>
                <w:sz w:val="24"/>
                <w:szCs w:val="24"/>
                <w:lang w:val="en-US" w:bidi="ar-SA"/>
              </w:rPr>
            </w:pPr>
            <w:r>
              <w:rPr>
                <w:rFonts w:hint="eastAsia" w:ascii="仿宋_GB2312" w:hAnsi="仿宋_GB2312" w:eastAsia="仿宋_GB2312" w:cs="仿宋_GB2312"/>
                <w:b/>
                <w:bCs/>
                <w:color w:val="000000"/>
                <w:sz w:val="24"/>
                <w:szCs w:val="24"/>
                <w:lang w:val="en-US" w:bidi="ar-SA"/>
              </w:rPr>
              <w:t>序号</w:t>
            </w:r>
          </w:p>
        </w:tc>
        <w:tc>
          <w:tcPr>
            <w:tcW w:w="2369" w:type="dxa"/>
            <w:tcBorders>
              <w:top w:val="single" w:color="auto" w:sz="4" w:space="0"/>
              <w:left w:val="nil"/>
              <w:bottom w:val="single" w:color="auto" w:sz="4" w:space="0"/>
              <w:right w:val="single" w:color="auto" w:sz="4" w:space="0"/>
            </w:tcBorders>
            <w:shd w:val="clear" w:color="auto" w:fill="auto"/>
            <w:noWrap/>
            <w:vAlign w:val="center"/>
          </w:tcPr>
          <w:p w14:paraId="0887C37D">
            <w:pPr>
              <w:widowControl/>
              <w:autoSpaceDE/>
              <w:autoSpaceDN/>
              <w:spacing w:before="0" w:beforeLines="0" w:line="240" w:lineRule="auto"/>
              <w:ind w:firstLine="0" w:firstLineChars="0"/>
              <w:jc w:val="center"/>
              <w:rPr>
                <w:rFonts w:hint="eastAsia" w:ascii="仿宋_GB2312" w:hAnsi="仿宋_GB2312" w:eastAsia="仿宋_GB2312" w:cs="仿宋_GB2312"/>
                <w:b/>
                <w:bCs/>
                <w:color w:val="000000"/>
                <w:sz w:val="24"/>
                <w:szCs w:val="24"/>
                <w:lang w:val="en-US" w:bidi="ar-SA"/>
              </w:rPr>
            </w:pPr>
            <w:r>
              <w:rPr>
                <w:rFonts w:hint="eastAsia" w:ascii="仿宋_GB2312" w:hAnsi="仿宋_GB2312" w:eastAsia="仿宋_GB2312" w:cs="仿宋_GB2312"/>
                <w:b/>
                <w:bCs/>
                <w:color w:val="000000"/>
                <w:sz w:val="24"/>
                <w:szCs w:val="24"/>
                <w:lang w:val="en-US" w:bidi="ar-SA"/>
              </w:rPr>
              <w:t>系统名称</w:t>
            </w:r>
          </w:p>
        </w:tc>
        <w:tc>
          <w:tcPr>
            <w:tcW w:w="9288" w:type="dxa"/>
            <w:tcBorders>
              <w:top w:val="single" w:color="auto" w:sz="4" w:space="0"/>
              <w:left w:val="nil"/>
              <w:bottom w:val="single" w:color="auto" w:sz="4" w:space="0"/>
              <w:right w:val="single" w:color="auto" w:sz="4" w:space="0"/>
            </w:tcBorders>
            <w:shd w:val="clear" w:color="auto" w:fill="auto"/>
            <w:vAlign w:val="center"/>
          </w:tcPr>
          <w:p w14:paraId="5B633819">
            <w:pPr>
              <w:widowControl/>
              <w:autoSpaceDE/>
              <w:autoSpaceDN/>
              <w:spacing w:before="0" w:beforeLines="0" w:line="240" w:lineRule="auto"/>
              <w:ind w:firstLine="0" w:firstLineChars="0"/>
              <w:jc w:val="center"/>
              <w:rPr>
                <w:rFonts w:hint="eastAsia" w:ascii="仿宋_GB2312" w:hAnsi="仿宋_GB2312" w:eastAsia="仿宋_GB2312" w:cs="仿宋_GB2312"/>
                <w:b/>
                <w:bCs/>
                <w:color w:val="000000"/>
                <w:sz w:val="24"/>
                <w:szCs w:val="24"/>
                <w:lang w:val="en-US" w:bidi="ar-SA"/>
              </w:rPr>
            </w:pPr>
            <w:r>
              <w:rPr>
                <w:rFonts w:hint="eastAsia" w:ascii="仿宋_GB2312" w:hAnsi="仿宋_GB2312" w:eastAsia="仿宋_GB2312" w:cs="仿宋_GB2312"/>
                <w:b/>
                <w:bCs/>
                <w:color w:val="000000"/>
                <w:sz w:val="24"/>
                <w:szCs w:val="24"/>
                <w:lang w:val="en-US" w:bidi="ar-SA"/>
              </w:rPr>
              <w:t>系统功能要求</w:t>
            </w:r>
          </w:p>
        </w:tc>
        <w:tc>
          <w:tcPr>
            <w:tcW w:w="2058" w:type="dxa"/>
            <w:tcBorders>
              <w:top w:val="single" w:color="auto" w:sz="4" w:space="0"/>
              <w:left w:val="nil"/>
              <w:bottom w:val="single" w:color="auto" w:sz="4" w:space="0"/>
              <w:right w:val="single" w:color="auto" w:sz="4" w:space="0"/>
            </w:tcBorders>
            <w:shd w:val="clear" w:color="auto" w:fill="auto"/>
            <w:vAlign w:val="center"/>
          </w:tcPr>
          <w:p w14:paraId="086BFEF0">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备注</w:t>
            </w:r>
          </w:p>
        </w:tc>
      </w:tr>
      <w:tr w14:paraId="54E1AC40">
        <w:tblPrEx>
          <w:tblCellMar>
            <w:top w:w="0" w:type="dxa"/>
            <w:left w:w="108" w:type="dxa"/>
            <w:bottom w:w="0" w:type="dxa"/>
            <w:right w:w="108" w:type="dxa"/>
          </w:tblCellMar>
        </w:tblPrEx>
        <w:trPr>
          <w:trHeight w:val="465"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0CF64BBA">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1</w:t>
            </w:r>
          </w:p>
        </w:tc>
        <w:tc>
          <w:tcPr>
            <w:tcW w:w="2369" w:type="dxa"/>
            <w:tcBorders>
              <w:top w:val="nil"/>
              <w:left w:val="nil"/>
              <w:bottom w:val="single" w:color="auto" w:sz="4" w:space="0"/>
              <w:right w:val="single" w:color="auto" w:sz="4" w:space="0"/>
            </w:tcBorders>
            <w:shd w:val="clear" w:color="auto" w:fill="auto"/>
            <w:vAlign w:val="center"/>
          </w:tcPr>
          <w:p w14:paraId="5FC3E620">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数字化医院系统软件（HIS)</w:t>
            </w:r>
          </w:p>
        </w:tc>
        <w:tc>
          <w:tcPr>
            <w:tcW w:w="9288" w:type="dxa"/>
            <w:tcBorders>
              <w:top w:val="nil"/>
              <w:left w:val="nil"/>
              <w:bottom w:val="single" w:color="auto" w:sz="4" w:space="0"/>
              <w:right w:val="single" w:color="auto" w:sz="4" w:space="0"/>
            </w:tcBorders>
            <w:shd w:val="clear" w:color="auto" w:fill="auto"/>
            <w:vAlign w:val="center"/>
          </w:tcPr>
          <w:p w14:paraId="7960455E">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建立以患者为核心的数据中心，围绕患者，建立流程、医嘱、诊断等多条主索引，作为所有医疗数据的中心线，能够全方面的检索到需要的数据，同时能够快速形成符合国家标准的数据集。通过数据一体化将患者在医院各个环节的数据按照各个主索引所代表的主线实时收集到数据中心中，通过数据的高度共享，实现医院信息的高度互联互通，配置门诊收款、护士站、</w:t>
            </w:r>
            <w:r>
              <w:rPr>
                <w:rFonts w:hint="eastAsia" w:ascii="仿宋_GB2312" w:hAnsi="仿宋_GB2312" w:eastAsia="仿宋_GB2312" w:cs="仿宋_GB2312"/>
                <w:color w:val="000000"/>
                <w:sz w:val="24"/>
                <w:szCs w:val="24"/>
                <w:lang w:val="en-US" w:eastAsia="zh-CN" w:bidi="ar-SA"/>
              </w:rPr>
              <w:t>门诊叫号、</w:t>
            </w:r>
            <w:r>
              <w:rPr>
                <w:rFonts w:hint="eastAsia" w:ascii="仿宋_GB2312" w:hAnsi="仿宋_GB2312" w:eastAsia="仿宋_GB2312" w:cs="仿宋_GB2312"/>
                <w:color w:val="000000"/>
                <w:sz w:val="24"/>
                <w:szCs w:val="24"/>
                <w:lang w:val="en-US" w:bidi="ar-SA"/>
              </w:rPr>
              <w:t>药库管理、药房管理、</w:t>
            </w:r>
            <w:r>
              <w:rPr>
                <w:rFonts w:hint="eastAsia" w:ascii="仿宋_GB2312" w:hAnsi="仿宋_GB2312" w:eastAsia="仿宋_GB2312" w:cs="仿宋_GB2312"/>
                <w:color w:val="000000"/>
                <w:sz w:val="24"/>
                <w:szCs w:val="24"/>
                <w:lang w:val="en-US" w:eastAsia="zh-CN" w:bidi="ar-SA"/>
              </w:rPr>
              <w:t>药房叫号、</w:t>
            </w:r>
            <w:r>
              <w:rPr>
                <w:rFonts w:hint="eastAsia" w:ascii="仿宋_GB2312" w:hAnsi="仿宋_GB2312" w:eastAsia="仿宋_GB2312" w:cs="仿宋_GB2312"/>
                <w:color w:val="000000"/>
                <w:sz w:val="24"/>
                <w:szCs w:val="24"/>
                <w:lang w:val="en-US" w:bidi="ar-SA"/>
              </w:rPr>
              <w:t>材料库管理、费用管理、系统管理等功能模块。</w:t>
            </w:r>
          </w:p>
        </w:tc>
        <w:tc>
          <w:tcPr>
            <w:tcW w:w="2058" w:type="dxa"/>
            <w:tcBorders>
              <w:top w:val="nil"/>
              <w:left w:val="nil"/>
              <w:bottom w:val="single" w:color="auto" w:sz="4" w:space="0"/>
              <w:right w:val="single" w:color="auto" w:sz="4" w:space="0"/>
            </w:tcBorders>
            <w:shd w:val="clear" w:color="auto" w:fill="auto"/>
            <w:vAlign w:val="center"/>
          </w:tcPr>
          <w:p w14:paraId="7D522EFD">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　</w:t>
            </w:r>
          </w:p>
        </w:tc>
      </w:tr>
      <w:tr w14:paraId="2BDFAA11">
        <w:tblPrEx>
          <w:tblCellMar>
            <w:top w:w="0" w:type="dxa"/>
            <w:left w:w="108" w:type="dxa"/>
            <w:bottom w:w="0" w:type="dxa"/>
            <w:right w:w="108" w:type="dxa"/>
          </w:tblCellMar>
        </w:tblPrEx>
        <w:trPr>
          <w:trHeight w:val="465"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7099F554">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2</w:t>
            </w:r>
          </w:p>
        </w:tc>
        <w:tc>
          <w:tcPr>
            <w:tcW w:w="2369" w:type="dxa"/>
            <w:tcBorders>
              <w:top w:val="nil"/>
              <w:left w:val="nil"/>
              <w:bottom w:val="single" w:color="auto" w:sz="4" w:space="0"/>
              <w:right w:val="single" w:color="auto" w:sz="4" w:space="0"/>
            </w:tcBorders>
            <w:shd w:val="clear" w:color="auto" w:fill="auto"/>
            <w:vAlign w:val="center"/>
          </w:tcPr>
          <w:p w14:paraId="5D658ECD">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电子病历系统(含门诊电子病历、住院电子病历、病历质控管理)</w:t>
            </w:r>
          </w:p>
        </w:tc>
        <w:tc>
          <w:tcPr>
            <w:tcW w:w="9288" w:type="dxa"/>
            <w:tcBorders>
              <w:top w:val="nil"/>
              <w:left w:val="nil"/>
              <w:bottom w:val="single" w:color="auto" w:sz="4" w:space="0"/>
              <w:right w:val="single" w:color="auto" w:sz="4" w:space="0"/>
            </w:tcBorders>
            <w:shd w:val="clear" w:color="auto" w:fill="auto"/>
            <w:vAlign w:val="center"/>
          </w:tcPr>
          <w:p w14:paraId="1C242EE8">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围绕“医生为患者看病”的核心业务，以电子病历为核心，无缝展示患者完整的一体化数据。全面采集患者数据进行深度智能化分析，实现智能病历生成、智能医嘱推荐、结构化的病历存储和读取。轻松完成病历书写、质控和评分，配置电子病历系统、门诊电子病历系统等功能模块。</w:t>
            </w:r>
          </w:p>
        </w:tc>
        <w:tc>
          <w:tcPr>
            <w:tcW w:w="2058" w:type="dxa"/>
            <w:tcBorders>
              <w:top w:val="nil"/>
              <w:left w:val="nil"/>
              <w:bottom w:val="single" w:color="auto" w:sz="4" w:space="0"/>
              <w:right w:val="single" w:color="auto" w:sz="4" w:space="0"/>
            </w:tcBorders>
            <w:shd w:val="clear" w:color="auto" w:fill="auto"/>
            <w:vAlign w:val="center"/>
          </w:tcPr>
          <w:p w14:paraId="33284B5B">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　</w:t>
            </w:r>
          </w:p>
        </w:tc>
      </w:tr>
      <w:tr w14:paraId="16BB9D34">
        <w:tblPrEx>
          <w:tblCellMar>
            <w:top w:w="0" w:type="dxa"/>
            <w:left w:w="108" w:type="dxa"/>
            <w:bottom w:w="0" w:type="dxa"/>
            <w:right w:w="108" w:type="dxa"/>
          </w:tblCellMar>
        </w:tblPrEx>
        <w:trPr>
          <w:trHeight w:val="2310" w:hRule="atLeast"/>
        </w:trPr>
        <w:tc>
          <w:tcPr>
            <w:tcW w:w="783" w:type="dxa"/>
            <w:tcBorders>
              <w:top w:val="nil"/>
              <w:left w:val="single" w:color="auto" w:sz="4" w:space="0"/>
              <w:bottom w:val="single" w:color="auto" w:sz="4" w:space="0"/>
              <w:right w:val="single" w:color="auto" w:sz="4" w:space="0"/>
            </w:tcBorders>
            <w:shd w:val="clear" w:color="auto" w:fill="auto"/>
            <w:vAlign w:val="center"/>
          </w:tcPr>
          <w:p w14:paraId="3E8C1702">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3</w:t>
            </w:r>
          </w:p>
        </w:tc>
        <w:tc>
          <w:tcPr>
            <w:tcW w:w="2369" w:type="dxa"/>
            <w:tcBorders>
              <w:top w:val="nil"/>
              <w:left w:val="nil"/>
              <w:bottom w:val="single" w:color="auto" w:sz="4" w:space="0"/>
              <w:right w:val="single" w:color="auto" w:sz="4" w:space="0"/>
            </w:tcBorders>
            <w:shd w:val="clear" w:color="auto" w:fill="auto"/>
            <w:vAlign w:val="center"/>
          </w:tcPr>
          <w:p w14:paraId="1F5B707C">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手术麻醉系统</w:t>
            </w:r>
          </w:p>
        </w:tc>
        <w:tc>
          <w:tcPr>
            <w:tcW w:w="9288" w:type="dxa"/>
            <w:tcBorders>
              <w:top w:val="nil"/>
              <w:left w:val="nil"/>
              <w:bottom w:val="single" w:color="auto" w:sz="4" w:space="0"/>
              <w:right w:val="single" w:color="auto" w:sz="4" w:space="0"/>
            </w:tcBorders>
            <w:shd w:val="clear" w:color="auto" w:fill="auto"/>
            <w:vAlign w:val="center"/>
          </w:tcPr>
          <w:p w14:paraId="11F706D6">
            <w:pPr>
              <w:widowControl/>
              <w:autoSpaceDE/>
              <w:autoSpaceDN/>
              <w:adjustRightInd w:val="0"/>
              <w:snapToGrid w:val="0"/>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系统将围绕患者术前、术中、术后以及麻醉质量数据库四个阶段，为麻醉、⼿术、护理的相关医护⼈员提供及时准确的患者基本资料、 诊断信息、检查报告、⽣命体征等整合信息作为参考，有助于降低医疗⻛险，提⾼⼿术效率。在术前，麻醉医⽣可以通过整合平台实时调阅病⼈病情及相关的检查、 检验报告，制定麻醉⽅案；在术中，麻醉医⽣将病⼈的麻醉过程信息记录 到系统中，同时系统与监护设备相连接，⾃动获取病⼈⽣命体征信息；在术后，麻醉医⽣可以下达医嘱、记录病⼈的恢复过程，系统可⾃动⽣成病⼈的麻醉记录单、麻醉小结及随访。</w:t>
            </w:r>
          </w:p>
        </w:tc>
        <w:tc>
          <w:tcPr>
            <w:tcW w:w="2058" w:type="dxa"/>
            <w:tcBorders>
              <w:top w:val="nil"/>
              <w:left w:val="nil"/>
              <w:bottom w:val="single" w:color="auto" w:sz="4" w:space="0"/>
              <w:right w:val="single" w:color="auto" w:sz="4" w:space="0"/>
            </w:tcBorders>
            <w:shd w:val="clear" w:color="auto" w:fill="auto"/>
            <w:vAlign w:val="center"/>
          </w:tcPr>
          <w:p w14:paraId="4CCE05A6">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11个手术室</w:t>
            </w:r>
          </w:p>
        </w:tc>
      </w:tr>
      <w:tr w14:paraId="4398CE95">
        <w:tblPrEx>
          <w:tblCellMar>
            <w:top w:w="0" w:type="dxa"/>
            <w:left w:w="108" w:type="dxa"/>
            <w:bottom w:w="0" w:type="dxa"/>
            <w:right w:w="108" w:type="dxa"/>
          </w:tblCellMar>
        </w:tblPrEx>
        <w:trPr>
          <w:trHeight w:val="3240"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368A9CF2">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4</w:t>
            </w:r>
          </w:p>
        </w:tc>
        <w:tc>
          <w:tcPr>
            <w:tcW w:w="2369" w:type="dxa"/>
            <w:tcBorders>
              <w:top w:val="nil"/>
              <w:left w:val="nil"/>
              <w:bottom w:val="single" w:color="auto" w:sz="4" w:space="0"/>
              <w:right w:val="single" w:color="auto" w:sz="4" w:space="0"/>
            </w:tcBorders>
            <w:shd w:val="clear" w:color="auto" w:fill="auto"/>
            <w:vAlign w:val="center"/>
          </w:tcPr>
          <w:p w14:paraId="7EB3CD92">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血液透析系统</w:t>
            </w:r>
          </w:p>
        </w:tc>
        <w:tc>
          <w:tcPr>
            <w:tcW w:w="9288" w:type="dxa"/>
            <w:tcBorders>
              <w:top w:val="nil"/>
              <w:left w:val="nil"/>
              <w:bottom w:val="single" w:color="auto" w:sz="4" w:space="0"/>
              <w:right w:val="single" w:color="auto" w:sz="4" w:space="0"/>
            </w:tcBorders>
            <w:shd w:val="clear" w:color="auto" w:fill="auto"/>
            <w:vAlign w:val="center"/>
          </w:tcPr>
          <w:p w14:paraId="52E25C30">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系统能实现以下功能：</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（1）便捷的排班管理，候诊区大屏显示治疗患者整个透析状态，预计下机时间、下次透析日期等。</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（2）实现患者上下机称重、量血压自助进行，无需人员干预，从而可以让医生专注于患者病情和制定透析处方。</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（3）实现透析病历无纸化存档，无需层层叠叠的档案夹和密密麻麻的资料袋，需要时随时批量打印；医生电子移动查房，移动医嘱，随时调阅患者历史档案。</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（4）实现护士床旁血压与系统对接，一键上传。</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（5）费用、药品、耗材的自动计算。</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（6）实现各类质控数据的长期查询、分类管理、统计分析功能。</w:t>
            </w:r>
            <w:r>
              <w:rPr>
                <w:rFonts w:hint="eastAsia" w:ascii="仿宋_GB2312" w:hAnsi="仿宋_GB2312" w:eastAsia="仿宋_GB2312" w:cs="仿宋_GB2312"/>
                <w:color w:val="000000"/>
                <w:sz w:val="24"/>
                <w:szCs w:val="24"/>
                <w:lang w:val="en-US" w:bidi="ar-SA"/>
              </w:rPr>
              <w:br w:type="textWrapping"/>
            </w:r>
            <w:r>
              <w:rPr>
                <w:rFonts w:hint="eastAsia" w:ascii="仿宋_GB2312" w:hAnsi="仿宋_GB2312" w:eastAsia="仿宋_GB2312" w:cs="仿宋_GB2312"/>
                <w:color w:val="000000"/>
                <w:sz w:val="24"/>
                <w:szCs w:val="24"/>
                <w:lang w:val="en-US" w:bidi="ar-SA"/>
              </w:rPr>
              <w:t>（7）可实现医生手机端与系统的衔接，可以实时查看患者透析状态，参数、医嘱。</w:t>
            </w:r>
          </w:p>
        </w:tc>
        <w:tc>
          <w:tcPr>
            <w:tcW w:w="2058" w:type="dxa"/>
            <w:tcBorders>
              <w:top w:val="nil"/>
              <w:left w:val="nil"/>
              <w:bottom w:val="single" w:color="auto" w:sz="4" w:space="0"/>
              <w:right w:val="single" w:color="auto" w:sz="4" w:space="0"/>
            </w:tcBorders>
            <w:shd w:val="clear" w:color="auto" w:fill="auto"/>
            <w:vAlign w:val="center"/>
          </w:tcPr>
          <w:p w14:paraId="50F78AE8">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预估30床</w:t>
            </w:r>
          </w:p>
        </w:tc>
      </w:tr>
      <w:tr w14:paraId="280706A6">
        <w:tblPrEx>
          <w:tblCellMar>
            <w:top w:w="0" w:type="dxa"/>
            <w:left w:w="108" w:type="dxa"/>
            <w:bottom w:w="0" w:type="dxa"/>
            <w:right w:w="108" w:type="dxa"/>
          </w:tblCellMar>
        </w:tblPrEx>
        <w:trPr>
          <w:trHeight w:val="650"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5839FDF9">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5</w:t>
            </w:r>
          </w:p>
        </w:tc>
        <w:tc>
          <w:tcPr>
            <w:tcW w:w="2369" w:type="dxa"/>
            <w:tcBorders>
              <w:top w:val="nil"/>
              <w:left w:val="nil"/>
              <w:bottom w:val="single" w:color="auto" w:sz="4" w:space="0"/>
              <w:right w:val="single" w:color="auto" w:sz="4" w:space="0"/>
            </w:tcBorders>
            <w:shd w:val="clear" w:color="auto" w:fill="auto"/>
            <w:vAlign w:val="center"/>
          </w:tcPr>
          <w:p w14:paraId="43D11D1D">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DIP控费与分析系统</w:t>
            </w:r>
          </w:p>
        </w:tc>
        <w:tc>
          <w:tcPr>
            <w:tcW w:w="9288" w:type="dxa"/>
            <w:tcBorders>
              <w:top w:val="nil"/>
              <w:left w:val="nil"/>
              <w:bottom w:val="single" w:color="auto" w:sz="4" w:space="0"/>
              <w:right w:val="single" w:color="auto" w:sz="4" w:space="0"/>
            </w:tcBorders>
            <w:shd w:val="clear" w:color="auto" w:fill="auto"/>
            <w:vAlign w:val="center"/>
          </w:tcPr>
          <w:p w14:paraId="4856AB57">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以DIP管理为核心，通过对医院数据进行科学测量，为评价医院的整体医疗服务能力提供了参考。建立医院医疗费用的自我约束机制，激发医院加强精细化管理，强化医院成本控制的内生动力，促进医院节约医疗资源和资源合理配置。协助院内模拟进行病种入组，做好病种管理，做好日常监督管理和病种费用分析，为医院、科室、医生提供全面高效的运营管理分析服务。</w:t>
            </w:r>
          </w:p>
        </w:tc>
        <w:tc>
          <w:tcPr>
            <w:tcW w:w="2058" w:type="dxa"/>
            <w:tcBorders>
              <w:top w:val="nil"/>
              <w:left w:val="nil"/>
              <w:bottom w:val="single" w:color="auto" w:sz="4" w:space="0"/>
              <w:right w:val="single" w:color="auto" w:sz="4" w:space="0"/>
            </w:tcBorders>
            <w:shd w:val="clear" w:color="auto" w:fill="auto"/>
            <w:vAlign w:val="center"/>
          </w:tcPr>
          <w:p w14:paraId="3FF7FF39">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　</w:t>
            </w:r>
          </w:p>
        </w:tc>
      </w:tr>
      <w:tr w14:paraId="5DC59EBC">
        <w:tblPrEx>
          <w:tblCellMar>
            <w:top w:w="0" w:type="dxa"/>
            <w:left w:w="108" w:type="dxa"/>
            <w:bottom w:w="0" w:type="dxa"/>
            <w:right w:w="108" w:type="dxa"/>
          </w:tblCellMar>
        </w:tblPrEx>
        <w:trPr>
          <w:trHeight w:val="1710" w:hRule="atLeast"/>
        </w:trPr>
        <w:tc>
          <w:tcPr>
            <w:tcW w:w="783" w:type="dxa"/>
            <w:tcBorders>
              <w:top w:val="nil"/>
              <w:left w:val="single" w:color="auto" w:sz="4" w:space="0"/>
              <w:bottom w:val="single" w:color="auto" w:sz="4" w:space="0"/>
              <w:right w:val="single" w:color="auto" w:sz="4" w:space="0"/>
            </w:tcBorders>
            <w:shd w:val="clear" w:color="auto" w:fill="auto"/>
            <w:vAlign w:val="center"/>
          </w:tcPr>
          <w:p w14:paraId="3096D916">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6</w:t>
            </w:r>
          </w:p>
        </w:tc>
        <w:tc>
          <w:tcPr>
            <w:tcW w:w="2369" w:type="dxa"/>
            <w:tcBorders>
              <w:top w:val="nil"/>
              <w:left w:val="nil"/>
              <w:bottom w:val="nil"/>
              <w:right w:val="single" w:color="auto" w:sz="4" w:space="0"/>
            </w:tcBorders>
            <w:shd w:val="clear" w:color="auto" w:fill="auto"/>
            <w:vAlign w:val="center"/>
          </w:tcPr>
          <w:p w14:paraId="2612DF1C">
            <w:pPr>
              <w:widowControl/>
              <w:autoSpaceDE/>
              <w:autoSpaceDN/>
              <w:spacing w:before="0" w:beforeLines="0" w:line="240" w:lineRule="auto"/>
              <w:ind w:firstLine="0" w:firstLineChars="0"/>
              <w:rPr>
                <w:rFonts w:hint="eastAsia" w:ascii="仿宋_GB2312" w:hAnsi="仿宋_GB2312" w:eastAsia="仿宋_GB2312" w:cs="仿宋_GB2312"/>
                <w:sz w:val="24"/>
                <w:szCs w:val="24"/>
                <w:lang w:val="en-US" w:bidi="ar-SA"/>
              </w:rPr>
            </w:pPr>
            <w:r>
              <w:rPr>
                <w:rFonts w:hint="eastAsia" w:ascii="仿宋_GB2312" w:hAnsi="仿宋_GB2312" w:eastAsia="仿宋_GB2312" w:cs="仿宋_GB2312"/>
                <w:sz w:val="24"/>
                <w:szCs w:val="24"/>
                <w:lang w:val="en-US" w:bidi="ar-SA"/>
              </w:rPr>
              <w:t>重症监护系统</w:t>
            </w:r>
          </w:p>
        </w:tc>
        <w:tc>
          <w:tcPr>
            <w:tcW w:w="9288" w:type="dxa"/>
            <w:tcBorders>
              <w:top w:val="nil"/>
              <w:left w:val="nil"/>
              <w:bottom w:val="single" w:color="auto" w:sz="4" w:space="0"/>
              <w:right w:val="single" w:color="auto" w:sz="4" w:space="0"/>
            </w:tcBorders>
            <w:shd w:val="clear" w:color="auto" w:fill="auto"/>
            <w:vAlign w:val="center"/>
          </w:tcPr>
          <w:p w14:paraId="3D05FEE7">
            <w:pPr>
              <w:widowControl/>
              <w:autoSpaceDE/>
              <w:autoSpaceDN/>
              <w:spacing w:before="0" w:beforeLines="0" w:line="240" w:lineRule="auto"/>
              <w:ind w:firstLine="0" w:firstLineChars="0"/>
              <w:rPr>
                <w:rFonts w:hint="eastAsia" w:ascii="仿宋_GB2312" w:hAnsi="仿宋_GB2312" w:eastAsia="仿宋_GB2312" w:cs="仿宋_GB2312"/>
                <w:sz w:val="24"/>
                <w:szCs w:val="24"/>
                <w:lang w:val="en-US" w:bidi="ar-SA"/>
              </w:rPr>
            </w:pPr>
            <w:r>
              <w:rPr>
                <w:rFonts w:hint="eastAsia" w:ascii="仿宋_GB2312" w:hAnsi="仿宋_GB2312" w:eastAsia="仿宋_GB2312" w:cs="仿宋_GB2312"/>
                <w:sz w:val="24"/>
                <w:szCs w:val="24"/>
                <w:lang w:val="en-US" w:bidi="ar-SA"/>
              </w:rPr>
              <w:t>系统可根据临床诊断、用药、体征和生理参数、住院时间等患者信息进行按需检索。系统根据完整记录的患者医疗数据，可以对患者的医疗效果进行评价，对生命体征变化趋势和用药相关性进行分析，对相同诊断不同患者的恢复效果进行比较。系统需满足患者查询、病案查询、补液平衡计算，病人流动统计、出入室统计、典型病例分析等功能，通过统计分析医疗数据，指导临床治疗和护理、教学、科研，提高ICU业务水平。</w:t>
            </w:r>
          </w:p>
        </w:tc>
        <w:tc>
          <w:tcPr>
            <w:tcW w:w="2058" w:type="dxa"/>
            <w:tcBorders>
              <w:top w:val="nil"/>
              <w:left w:val="nil"/>
              <w:bottom w:val="single" w:color="auto" w:sz="4" w:space="0"/>
              <w:right w:val="single" w:color="auto" w:sz="4" w:space="0"/>
            </w:tcBorders>
            <w:shd w:val="clear" w:color="auto" w:fill="auto"/>
            <w:vAlign w:val="center"/>
          </w:tcPr>
          <w:p w14:paraId="2A10B392">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13张重症病床</w:t>
            </w:r>
          </w:p>
        </w:tc>
      </w:tr>
      <w:tr w14:paraId="2E24A737">
        <w:tblPrEx>
          <w:tblCellMar>
            <w:top w:w="0" w:type="dxa"/>
            <w:left w:w="108" w:type="dxa"/>
            <w:bottom w:w="0" w:type="dxa"/>
            <w:right w:w="108" w:type="dxa"/>
          </w:tblCellMar>
        </w:tblPrEx>
        <w:trPr>
          <w:trHeight w:val="1140"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01678311">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7</w:t>
            </w:r>
          </w:p>
        </w:tc>
        <w:tc>
          <w:tcPr>
            <w:tcW w:w="2369" w:type="dxa"/>
            <w:tcBorders>
              <w:top w:val="single" w:color="auto" w:sz="4" w:space="0"/>
              <w:left w:val="nil"/>
              <w:bottom w:val="single" w:color="auto" w:sz="4" w:space="0"/>
              <w:right w:val="single" w:color="auto" w:sz="4" w:space="0"/>
            </w:tcBorders>
            <w:shd w:val="clear" w:color="auto" w:fill="auto"/>
            <w:vAlign w:val="center"/>
          </w:tcPr>
          <w:p w14:paraId="7B1BE4CF">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急诊平台系统</w:t>
            </w:r>
          </w:p>
        </w:tc>
        <w:tc>
          <w:tcPr>
            <w:tcW w:w="9288" w:type="dxa"/>
            <w:tcBorders>
              <w:top w:val="nil"/>
              <w:left w:val="nil"/>
              <w:bottom w:val="single" w:color="auto" w:sz="4" w:space="0"/>
              <w:right w:val="single" w:color="auto" w:sz="4" w:space="0"/>
            </w:tcBorders>
            <w:shd w:val="clear" w:color="auto" w:fill="auto"/>
            <w:vAlign w:val="center"/>
          </w:tcPr>
          <w:p w14:paraId="7825DDE5">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应设有预检分诊工作站，以及抢救区、留观区的急诊电子病历与护理文书信息化工作站。能无缝衔接院前急救、院内急诊及专业科室业务的急诊科室信息化系统，既贴合一线医护人员、科室及医院管理者在提升效率、改进流程、规范管理方面的需求，又与单病种专科中心的运作流程紧密结合。</w:t>
            </w:r>
          </w:p>
        </w:tc>
        <w:tc>
          <w:tcPr>
            <w:tcW w:w="2058" w:type="dxa"/>
            <w:tcBorders>
              <w:top w:val="nil"/>
              <w:left w:val="nil"/>
              <w:bottom w:val="nil"/>
              <w:right w:val="single" w:color="auto" w:sz="4" w:space="0"/>
            </w:tcBorders>
            <w:shd w:val="clear" w:color="auto" w:fill="auto"/>
            <w:vAlign w:val="center"/>
          </w:tcPr>
          <w:p w14:paraId="5FBE99F1">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eastAsia="zh-CN" w:bidi="ar-SA"/>
              </w:rPr>
              <w:t>15台救护车</w:t>
            </w:r>
            <w:r>
              <w:rPr>
                <w:rFonts w:hint="eastAsia" w:ascii="仿宋_GB2312" w:hAnsi="仿宋_GB2312" w:eastAsia="仿宋_GB2312" w:cs="仿宋_GB2312"/>
                <w:color w:val="000000"/>
                <w:sz w:val="24"/>
                <w:szCs w:val="24"/>
                <w:lang w:val="en-US" w:bidi="ar-SA"/>
              </w:rPr>
              <w:t>　</w:t>
            </w:r>
          </w:p>
        </w:tc>
      </w:tr>
      <w:tr w14:paraId="7B4AADD4">
        <w:tblPrEx>
          <w:tblCellMar>
            <w:top w:w="0" w:type="dxa"/>
            <w:left w:w="108" w:type="dxa"/>
            <w:bottom w:w="0" w:type="dxa"/>
            <w:right w:w="108" w:type="dxa"/>
          </w:tblCellMar>
        </w:tblPrEx>
        <w:trPr>
          <w:trHeight w:val="1350"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4F2FBBB3">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8</w:t>
            </w:r>
          </w:p>
        </w:tc>
        <w:tc>
          <w:tcPr>
            <w:tcW w:w="2369" w:type="dxa"/>
            <w:tcBorders>
              <w:top w:val="nil"/>
              <w:left w:val="nil"/>
              <w:bottom w:val="single" w:color="auto" w:sz="4" w:space="0"/>
              <w:right w:val="single" w:color="auto" w:sz="4" w:space="0"/>
            </w:tcBorders>
            <w:shd w:val="clear" w:color="auto" w:fill="auto"/>
            <w:vAlign w:val="center"/>
          </w:tcPr>
          <w:p w14:paraId="7540B03E">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卒中中心系统</w:t>
            </w:r>
          </w:p>
        </w:tc>
        <w:tc>
          <w:tcPr>
            <w:tcW w:w="9288" w:type="dxa"/>
            <w:tcBorders>
              <w:top w:val="nil"/>
              <w:left w:val="nil"/>
              <w:bottom w:val="single" w:color="auto" w:sz="4" w:space="0"/>
              <w:right w:val="single" w:color="auto" w:sz="4" w:space="0"/>
            </w:tcBorders>
            <w:shd w:val="clear" w:color="auto" w:fill="auto"/>
            <w:vAlign w:val="center"/>
          </w:tcPr>
          <w:p w14:paraId="4DB64225">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卒中中心系统应能服务于脑卒中患者院前、院内、院后的全程救治。自动采集患者发病与救治的关键时间节点、分检诊结果、病情分级评分、影像及实验室检查、初步诊断等信息，助力急诊科、神经内科、神经外科、介入导管室、影像科等科室有序协作。系统还能自动生成卒中绿道表与救治时间轴，快速建立卒中专库，提供卒中筛查及随访登记服务。</w:t>
            </w:r>
          </w:p>
        </w:tc>
        <w:tc>
          <w:tcPr>
            <w:tcW w:w="2058" w:type="dxa"/>
            <w:tcBorders>
              <w:top w:val="single" w:color="auto" w:sz="4" w:space="0"/>
              <w:left w:val="nil"/>
              <w:bottom w:val="nil"/>
              <w:right w:val="single" w:color="auto" w:sz="4" w:space="0"/>
            </w:tcBorders>
            <w:shd w:val="clear" w:color="auto" w:fill="auto"/>
            <w:vAlign w:val="center"/>
          </w:tcPr>
          <w:p w14:paraId="64145696">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　</w:t>
            </w:r>
          </w:p>
        </w:tc>
      </w:tr>
      <w:tr w14:paraId="0BCE7E75">
        <w:tblPrEx>
          <w:tblCellMar>
            <w:top w:w="0" w:type="dxa"/>
            <w:left w:w="108" w:type="dxa"/>
            <w:bottom w:w="0" w:type="dxa"/>
            <w:right w:w="108" w:type="dxa"/>
          </w:tblCellMar>
        </w:tblPrEx>
        <w:trPr>
          <w:trHeight w:val="1140" w:hRule="atLeast"/>
        </w:trPr>
        <w:tc>
          <w:tcPr>
            <w:tcW w:w="783" w:type="dxa"/>
            <w:tcBorders>
              <w:top w:val="nil"/>
              <w:left w:val="single" w:color="auto" w:sz="4" w:space="0"/>
              <w:bottom w:val="single" w:color="auto" w:sz="4" w:space="0"/>
              <w:right w:val="single" w:color="auto" w:sz="4" w:space="0"/>
            </w:tcBorders>
            <w:shd w:val="clear" w:color="auto" w:fill="auto"/>
            <w:vAlign w:val="center"/>
          </w:tcPr>
          <w:p w14:paraId="7AFB8916">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9</w:t>
            </w:r>
          </w:p>
        </w:tc>
        <w:tc>
          <w:tcPr>
            <w:tcW w:w="2369" w:type="dxa"/>
            <w:tcBorders>
              <w:top w:val="nil"/>
              <w:left w:val="nil"/>
              <w:bottom w:val="single" w:color="auto" w:sz="4" w:space="0"/>
              <w:right w:val="single" w:color="auto" w:sz="4" w:space="0"/>
            </w:tcBorders>
            <w:shd w:val="clear" w:color="auto" w:fill="auto"/>
            <w:vAlign w:val="center"/>
          </w:tcPr>
          <w:p w14:paraId="1EC70090">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胸痛中心系统</w:t>
            </w:r>
          </w:p>
        </w:tc>
        <w:tc>
          <w:tcPr>
            <w:tcW w:w="9288" w:type="dxa"/>
            <w:tcBorders>
              <w:top w:val="nil"/>
              <w:left w:val="nil"/>
              <w:bottom w:val="single" w:color="auto" w:sz="4" w:space="0"/>
              <w:right w:val="single" w:color="auto" w:sz="4" w:space="0"/>
            </w:tcBorders>
            <w:shd w:val="clear" w:color="auto" w:fill="auto"/>
            <w:vAlign w:val="center"/>
          </w:tcPr>
          <w:p w14:paraId="536D599F">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胸痛中心系统</w:t>
            </w:r>
            <w:bookmarkStart w:id="2" w:name="OLE_LINK4"/>
            <w:r>
              <w:rPr>
                <w:rFonts w:hint="eastAsia" w:ascii="仿宋_GB2312" w:hAnsi="仿宋_GB2312" w:eastAsia="仿宋_GB2312" w:cs="仿宋_GB2312"/>
                <w:color w:val="000000"/>
                <w:sz w:val="24"/>
                <w:szCs w:val="24"/>
                <w:lang w:val="en-US" w:bidi="ar-SA"/>
              </w:rPr>
              <w:t>应能服务于</w:t>
            </w:r>
            <w:bookmarkEnd w:id="2"/>
            <w:r>
              <w:rPr>
                <w:rFonts w:hint="eastAsia" w:ascii="仿宋_GB2312" w:hAnsi="仿宋_GB2312" w:eastAsia="仿宋_GB2312" w:cs="仿宋_GB2312"/>
                <w:color w:val="000000"/>
                <w:sz w:val="24"/>
                <w:szCs w:val="24"/>
                <w:lang w:val="en-US" w:bidi="ar-SA"/>
              </w:rPr>
              <w:t>胸痛患者院前、院内、院后的整个救治流程，支持胸痛中心多学科协作，涵盖急诊科、心内科、影像学科、介入血管科等。系统能记录分检诊、评估及治疗过程，自动采集并记录各项时间指标，实现胸痛救治全流程跟踪管理，并自动生成胸痛管理时间表与时间轴。</w:t>
            </w:r>
          </w:p>
        </w:tc>
        <w:tc>
          <w:tcPr>
            <w:tcW w:w="2058" w:type="dxa"/>
            <w:tcBorders>
              <w:top w:val="single" w:color="auto" w:sz="4" w:space="0"/>
              <w:left w:val="nil"/>
              <w:bottom w:val="nil"/>
              <w:right w:val="single" w:color="auto" w:sz="4" w:space="0"/>
            </w:tcBorders>
            <w:shd w:val="clear" w:color="auto" w:fill="auto"/>
            <w:vAlign w:val="center"/>
          </w:tcPr>
          <w:p w14:paraId="25140347">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　</w:t>
            </w:r>
          </w:p>
        </w:tc>
      </w:tr>
      <w:tr w14:paraId="72A12AAC">
        <w:tblPrEx>
          <w:tblCellMar>
            <w:top w:w="0" w:type="dxa"/>
            <w:left w:w="108" w:type="dxa"/>
            <w:bottom w:w="0" w:type="dxa"/>
            <w:right w:w="108" w:type="dxa"/>
          </w:tblCellMar>
        </w:tblPrEx>
        <w:trPr>
          <w:trHeight w:val="1140" w:hRule="atLeast"/>
        </w:trPr>
        <w:tc>
          <w:tcPr>
            <w:tcW w:w="783" w:type="dxa"/>
            <w:tcBorders>
              <w:top w:val="nil"/>
              <w:left w:val="single" w:color="auto" w:sz="4" w:space="0"/>
              <w:bottom w:val="single" w:color="auto" w:sz="4" w:space="0"/>
              <w:right w:val="single" w:color="auto" w:sz="4" w:space="0"/>
            </w:tcBorders>
            <w:shd w:val="clear" w:color="auto" w:fill="auto"/>
            <w:noWrap/>
            <w:vAlign w:val="center"/>
          </w:tcPr>
          <w:p w14:paraId="0BD602CF">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10</w:t>
            </w:r>
          </w:p>
        </w:tc>
        <w:tc>
          <w:tcPr>
            <w:tcW w:w="2369" w:type="dxa"/>
            <w:tcBorders>
              <w:top w:val="nil"/>
              <w:left w:val="nil"/>
              <w:bottom w:val="single" w:color="auto" w:sz="4" w:space="0"/>
              <w:right w:val="single" w:color="auto" w:sz="4" w:space="0"/>
            </w:tcBorders>
            <w:shd w:val="clear" w:color="auto" w:fill="auto"/>
            <w:vAlign w:val="center"/>
          </w:tcPr>
          <w:p w14:paraId="2C366A6F">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创伤中心系统</w:t>
            </w:r>
          </w:p>
        </w:tc>
        <w:tc>
          <w:tcPr>
            <w:tcW w:w="9288" w:type="dxa"/>
            <w:tcBorders>
              <w:top w:val="nil"/>
              <w:left w:val="nil"/>
              <w:bottom w:val="single" w:color="auto" w:sz="4" w:space="0"/>
              <w:right w:val="single" w:color="auto" w:sz="4" w:space="0"/>
            </w:tcBorders>
            <w:shd w:val="clear" w:color="auto" w:fill="auto"/>
            <w:vAlign w:val="center"/>
          </w:tcPr>
          <w:p w14:paraId="3E9DF6BF">
            <w:pPr>
              <w:widowControl/>
              <w:autoSpaceDE/>
              <w:autoSpaceDN/>
              <w:spacing w:before="0" w:beforeLines="0" w:line="240" w:lineRule="auto"/>
              <w:ind w:firstLine="0" w:firstLineChars="0"/>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创伤中心系统应能服务于创伤患者院前、院内、院后全救治流程。支持系统结合患者基本信息、院前情况及当前状态，开展 AIS/ISS 评估。依据创伤复苏时间轴指引，辅助医护高效救治患者。同时应能快速自动采集患者生命体征数据与检验检查结果，生成诊断和评估报告，并完成数据汇总。</w:t>
            </w:r>
          </w:p>
        </w:tc>
        <w:tc>
          <w:tcPr>
            <w:tcW w:w="2058" w:type="dxa"/>
            <w:tcBorders>
              <w:top w:val="single" w:color="auto" w:sz="4" w:space="0"/>
              <w:left w:val="nil"/>
              <w:bottom w:val="single" w:color="auto" w:sz="4" w:space="0"/>
              <w:right w:val="single" w:color="auto" w:sz="4" w:space="0"/>
            </w:tcBorders>
            <w:shd w:val="clear" w:color="auto" w:fill="auto"/>
            <w:vAlign w:val="center"/>
          </w:tcPr>
          <w:p w14:paraId="4D0FCFBC">
            <w:pPr>
              <w:widowControl/>
              <w:autoSpaceDE/>
              <w:autoSpaceDN/>
              <w:spacing w:before="0" w:beforeLines="0" w:line="240" w:lineRule="auto"/>
              <w:ind w:firstLine="0" w:firstLineChars="0"/>
              <w:jc w:val="center"/>
              <w:rPr>
                <w:rFonts w:hint="eastAsia" w:ascii="仿宋_GB2312" w:hAnsi="仿宋_GB2312" w:eastAsia="仿宋_GB2312" w:cs="仿宋_GB2312"/>
                <w:color w:val="000000"/>
                <w:sz w:val="24"/>
                <w:szCs w:val="24"/>
                <w:lang w:val="en-US" w:bidi="ar-SA"/>
              </w:rPr>
            </w:pPr>
            <w:r>
              <w:rPr>
                <w:rFonts w:hint="eastAsia" w:ascii="仿宋_GB2312" w:hAnsi="仿宋_GB2312" w:eastAsia="仿宋_GB2312" w:cs="仿宋_GB2312"/>
                <w:color w:val="000000"/>
                <w:sz w:val="24"/>
                <w:szCs w:val="24"/>
                <w:lang w:val="en-US" w:bidi="ar-SA"/>
              </w:rPr>
              <w:t>　</w:t>
            </w:r>
          </w:p>
        </w:tc>
      </w:tr>
    </w:tbl>
    <w:p w14:paraId="56A5C9A9">
      <w:pPr>
        <w:numPr>
          <w:ilvl w:val="0"/>
          <w:numId w:val="2"/>
        </w:numPr>
        <w:spacing w:before="163"/>
        <w:ind w:firstLine="0" w:firstLineChars="0"/>
        <w:rPr>
          <w:rFonts w:hint="eastAsia"/>
          <w:lang w:val="en-US" w:eastAsia="zh-CN"/>
        </w:rPr>
      </w:pPr>
      <w:r>
        <w:rPr>
          <w:rFonts w:hint="eastAsia"/>
          <w:lang w:val="en-US" w:eastAsia="zh-CN"/>
        </w:rPr>
        <w:t>硬件要求</w:t>
      </w:r>
    </w:p>
    <w:tbl>
      <w:tblPr>
        <w:tblStyle w:val="22"/>
        <w:tblW w:w="1425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99"/>
        <w:gridCol w:w="1607"/>
        <w:gridCol w:w="9320"/>
        <w:gridCol w:w="710"/>
        <w:gridCol w:w="821"/>
      </w:tblGrid>
      <w:tr w14:paraId="2743E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2" w:hRule="atLeast"/>
        </w:trPr>
        <w:tc>
          <w:tcPr>
            <w:tcW w:w="17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5821">
            <w:pPr>
              <w:keepNext w:val="0"/>
              <w:keepLines w:val="0"/>
              <w:widowControl/>
              <w:suppressLineNumbers w:val="0"/>
              <w:ind w:left="0" w:leftChars="0" w:firstLine="0" w:firstLineChars="0"/>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超融合服务器</w:t>
            </w:r>
          </w:p>
        </w:tc>
        <w:tc>
          <w:tcPr>
            <w:tcW w:w="1607" w:type="dxa"/>
            <w:tcBorders>
              <w:top w:val="single" w:color="000000" w:sz="4" w:space="0"/>
              <w:left w:val="single" w:color="000000" w:sz="4" w:space="0"/>
              <w:bottom w:val="nil"/>
              <w:right w:val="single" w:color="000000" w:sz="4" w:space="0"/>
            </w:tcBorders>
            <w:shd w:val="clear" w:color="auto" w:fill="auto"/>
            <w:noWrap/>
            <w:vAlign w:val="center"/>
          </w:tcPr>
          <w:p w14:paraId="4814DCC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服务器</w:t>
            </w:r>
          </w:p>
        </w:tc>
        <w:tc>
          <w:tcPr>
            <w:tcW w:w="9320" w:type="dxa"/>
            <w:tcBorders>
              <w:top w:val="single" w:color="000000" w:sz="4" w:space="0"/>
              <w:left w:val="single" w:color="000000" w:sz="4" w:space="0"/>
              <w:bottom w:val="nil"/>
              <w:right w:val="single" w:color="000000" w:sz="4" w:space="0"/>
            </w:tcBorders>
            <w:shd w:val="clear" w:color="auto" w:fill="auto"/>
            <w:vAlign w:val="center"/>
          </w:tcPr>
          <w:p w14:paraId="21D0A341">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国产化CPU：2颗；核心≥32核，主频≥2.7GHz；</w:t>
            </w:r>
          </w:p>
          <w:p w14:paraId="2D6033D6">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内存：≥512GB；</w:t>
            </w:r>
          </w:p>
          <w:p w14:paraId="1BE924AC">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缓存盘：≥4*1.92T SATA SSD；</w:t>
            </w:r>
          </w:p>
          <w:p w14:paraId="32FC5B9B">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数据盘：≥8*8T HDD；</w:t>
            </w:r>
          </w:p>
          <w:p w14:paraId="3C84E325">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标配盘位：12；</w:t>
            </w:r>
          </w:p>
          <w:p w14:paraId="33394748">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电源:冗余电源；</w:t>
            </w:r>
          </w:p>
          <w:p w14:paraId="65F9BA22">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接口：4千兆电口+4万兆光口（满配光模块）；</w:t>
            </w:r>
          </w:p>
          <w:p w14:paraId="0DF6898F">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需含计算虚拟化软件、存储虚拟化以及网络虚拟化软件；</w:t>
            </w:r>
          </w:p>
          <w:p w14:paraId="7BE7A480">
            <w:pPr>
              <w:keepNext w:val="0"/>
              <w:keepLines w:val="0"/>
              <w:pageBreakBefore w:val="0"/>
              <w:widowControl/>
              <w:suppressLineNumbers w:val="0"/>
              <w:kinsoku/>
              <w:wordWrap/>
              <w:overflowPunct/>
              <w:topLinePunct w:val="0"/>
              <w:autoSpaceDE w:val="0"/>
              <w:autoSpaceDN w:val="0"/>
              <w:bidi w:val="0"/>
              <w:adjustRightInd/>
              <w:snapToGrid/>
              <w:spacing w:line="200" w:lineRule="exact"/>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需含超融合云管理平台软件和三年服务。</w:t>
            </w:r>
          </w:p>
          <w:p w14:paraId="12C89BEE">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1、支持对超融合平台的硬件进行监控和大屏幕显示，包括CPU、内存、网卡、硬盘、存储、RAID等硬件健康检查，为了便于及时恢复，可为异常检测项目提供指导和建议</w:t>
            </w:r>
          </w:p>
          <w:p w14:paraId="3DA988B4">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支持定期对平台进行健康检测提前发现平台问题，避免平台故障导致业务受影响，但人工巡检效率低，需要平台支持集群环境一键健康检测提升效率，可以选择检测对象，包括系统运行状态检测（系统服务检测、配置文件检测、系统分区检测、存储空间检测）、系统配置检测（网口配置检测）、硬件健康检测（CPU检测、内存检测、网卡检测、硬盘基本功能检测）</w:t>
            </w:r>
          </w:p>
          <w:p w14:paraId="53DBBF53">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众多业务接需要迁移至超融合集群，为了优化我院运维流程并提升使用体验，产品需支持提供基于PowerShell的命令行界面（CLI）功能。该功能允许用户通过命令行直接管理计算、存储、网络等相关资源，简化运维操作的复杂性。</w:t>
            </w:r>
          </w:p>
          <w:p w14:paraId="39CA1703">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4、需虚拟机可以实现物理机的全部功能，如具有自己的资源（内存、CPU、网卡、存储），可以指定单独的IP地址、MAC地址等。</w:t>
            </w:r>
          </w:p>
          <w:p w14:paraId="65CA4FF0">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5、需支持虚拟机动态资源添加操作，通过设置阈值查看内存利用率；虚拟机内存使用不足时会自动为虚拟机添加内存资源，可以保存虚拟机动态资源添加操作</w:t>
            </w:r>
          </w:p>
          <w:p w14:paraId="12DBC347">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6、为充分利用云平台的资源，虚拟机需要支持内存回收，在内存不用的时候自动回收给其他虚拟机使用，并支持手动设置平台的内存超配比例，实现内存的超分使用</w:t>
            </w:r>
          </w:p>
          <w:p w14:paraId="07EDB465">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基于成本考虑，我院需要超融合产品同时满足核心业务对存储性能和普通业务对存储容量的需求，支持存储分卷功能，可以创建全SSD分卷组成高性能存储池，满足高性能应用需求，可以创建SSD,HDD分卷组成大容量存储池，满足容量需求。</w:t>
            </w:r>
          </w:p>
          <w:p w14:paraId="70B66DF7">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8、为避免平台虚拟机误删操作，需支持点击还原按钮，还原回收站列表指定项，可设置回收站文件保留天数，可以查看回收站列表项信息，包括名称、描述、存储和删除时间和保留时间</w:t>
            </w:r>
          </w:p>
          <w:p w14:paraId="73BC1150">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需支持标准的iSCSI协议，允许外部物理主机或应用通过标准的iSCSI接口访问虚拟存储。支持iSCSI存储、FC存储、NFS存储、本地存储。支持通过iSCSI透传/非透传指令使虚拟机支持存储裸设备映射（RDM），可以将存储设备上的LUN 直接映射给虚拟机使用</w:t>
            </w:r>
          </w:p>
          <w:p w14:paraId="078F7F17">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为确保系统的稳定性和数据的完整性，所提交的产品必须支持快照功能。此功能应允许用户新增快照策略，并灵活设置快照频率，包括但不限于按周、按天及按小时进行快照。同时，用户应具备配置快照保存方式的选项。系统还应提供快照恢复功能，通过点击相应操作，用户能够选择覆盖原虚拟机的信息。此外，用户还可以利用快照克隆功能，通过点击操作创建新的虚拟机实例。这些功能的实现，将极大提升系统的灵活性和可维护性。</w:t>
            </w:r>
          </w:p>
          <w:p w14:paraId="1A925477">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为满足医院单位不同业务场景对存储的需求，虚拟化平台产品支持为虚拟机磁盘配置不同存储策略。重要虚拟机可选择三副本等高性能策略，普通虚拟机可选择默认策略。实现精细化管理，提高资源利用效率和系统稳定性。</w:t>
            </w:r>
          </w:p>
          <w:p w14:paraId="1AC026AB">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为了提升排障效率，获取可靠的网络连通性信息，要求所投产品支持跳转连通性探测页面，可以设置探测对象信息，包括网口、对象类型、IP地址，可以点击开始探测按钮查看探测页面信息，可以在网络连通性探测页面查看网络探测是否成功</w:t>
            </w:r>
          </w:p>
          <w:p w14:paraId="732038BB">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鉴于医院单位业务系统常见故障为硬盘故障，为保证业务系统的数据安全，虚拟化产品支持主动将非健康硬盘但未完全损坏的硬盘数据进行迁移修复，当虚拟化平台检测出硬盘的坏道数过多时，平台能够自动将该盘的数据迁移至其他健康硬盘上，以保</w:t>
            </w:r>
            <w:bookmarkStart w:id="3" w:name="_GoBack"/>
            <w:bookmarkEnd w:id="3"/>
            <w:r>
              <w:rPr>
                <w:rFonts w:hint="eastAsia" w:ascii="仿宋_GB2312" w:hAnsi="仿宋_GB2312" w:eastAsia="仿宋_GB2312" w:cs="仿宋_GB2312"/>
                <w:i w:val="0"/>
                <w:iCs w:val="0"/>
                <w:color w:val="000000"/>
                <w:kern w:val="0"/>
                <w:sz w:val="24"/>
                <w:szCs w:val="24"/>
                <w:u w:val="none"/>
                <w:lang w:val="en-US" w:eastAsia="zh-CN" w:bidi="ar"/>
              </w:rPr>
              <w:t>障我院业务系统数据的安全，提高业务系统整体可靠性。</w:t>
            </w:r>
          </w:p>
          <w:p w14:paraId="324FCAFD">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14、需支持硬盘容量预测功能，并可根据客户设置的阈值进行容量告警，为用户扩容提供指导，并避免使用过程中突然出现容量不足问题。</w:t>
            </w:r>
          </w:p>
          <w:p w14:paraId="620E61A4">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15、网络硬件检测（网络可通、网卡、光模块、网卡掉线、闪断）能力，以便帮助运维人员及时检测和处理网络硬件故障，保障网络的稳定性和可靠性。</w:t>
            </w:r>
          </w:p>
          <w:p w14:paraId="46ABEF4E">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随着业务连续性要求越来越高，为了提升我单位基础设施的网络质量，要求提供网络硬件检测（网络可通、网卡、光模块、网卡掉线、闪断）能力，以便帮助运维人员提升排障效率，获取可靠的网络连通性信息，要求支持跳转连通性探测页面，可以设置探测对象信息，包括网口、对象类型、IP地址，可以点击开始探测按钮查看探测页面信息，可以在网络连通性探测页面查看网络探测是否成功。</w:t>
            </w:r>
          </w:p>
          <w:p w14:paraId="608057A2">
            <w:pPr>
              <w:keepNext w:val="0"/>
              <w:keepLines w:val="0"/>
              <w:pageBreakBefore w:val="0"/>
              <w:widowControl/>
              <w:suppressLineNumbers w:val="0"/>
              <w:kinsoku/>
              <w:wordWrap/>
              <w:overflowPunct/>
              <w:topLinePunct w:val="0"/>
              <w:autoSpaceDE w:val="0"/>
              <w:autoSpaceDN w:val="0"/>
              <w:bidi w:val="0"/>
              <w:adjustRightInd/>
              <w:snapToGrid/>
              <w:spacing w:line="360" w:lineRule="auto"/>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17、支持漏洞及版本信息巡检，推送补丁及升级信息，并支持补丁管理、更新、回滚。</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8E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D49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r>
      <w:tr w14:paraId="697A6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3" w:hRule="atLeast"/>
        </w:trPr>
        <w:tc>
          <w:tcPr>
            <w:tcW w:w="17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C8F6">
            <w:pPr>
              <w:jc w:val="center"/>
              <w:rPr>
                <w:rFonts w:hint="eastAsia" w:ascii="仿宋_GB2312" w:hAnsi="仿宋_GB2312" w:eastAsia="仿宋_GB2312" w:cs="仿宋_GB2312"/>
                <w:i w:val="0"/>
                <w:iCs w:val="0"/>
                <w:color w:val="000000"/>
                <w:sz w:val="24"/>
                <w:szCs w:val="24"/>
                <w:u w:val="none"/>
              </w:rPr>
            </w:pP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F93C">
            <w:pPr>
              <w:keepNext w:val="0"/>
              <w:keepLines w:val="0"/>
              <w:widowControl/>
              <w:suppressLineNumbers w:val="0"/>
              <w:ind w:left="0" w:leftChars="0" w:firstLine="0" w:firstLineChars="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超融合交换机</w:t>
            </w:r>
          </w:p>
        </w:tc>
        <w:tc>
          <w:tcPr>
            <w:tcW w:w="9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9C8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整机支持≥24个10G SFP+万兆光口，≥24个千兆电口，≥2个40GE QSFP+光口；</w:t>
            </w:r>
          </w:p>
          <w:p w14:paraId="7EEFE04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交换容量≥2.56Tbps/25.6Tbps,</w:t>
            </w:r>
          </w:p>
          <w:p w14:paraId="618573F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包转发率≥1320Mpps/1680Mpps,</w:t>
            </w:r>
          </w:p>
          <w:p w14:paraId="06035CA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支持全端口线速转发；双电源模块</w:t>
            </w:r>
          </w:p>
          <w:p w14:paraId="7F0C265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包含相应的交换机管理软件及超融合所需的硬件和三年服务</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81A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B2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r>
    </w:tbl>
    <w:p w14:paraId="7526D311">
      <w:p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报价要求：</w:t>
      </w:r>
    </w:p>
    <w:p w14:paraId="32159E97">
      <w:pPr>
        <w:numPr>
          <w:ilvl w:val="0"/>
          <w:numId w:val="3"/>
        </w:num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所有的系统报价都需要包含所有系统接口费以及后续四级电子病历、互联互通四乙的改造费用。</w:t>
      </w:r>
    </w:p>
    <w:p w14:paraId="6367B4E9">
      <w:pPr>
        <w:numPr>
          <w:ilvl w:val="0"/>
          <w:numId w:val="3"/>
        </w:num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所有报价的系统都必须达到四级电子病历、互联互通四乙的要求，如后续无法满足，将由报价公司承担所有相关的费用。</w:t>
      </w:r>
    </w:p>
    <w:p w14:paraId="2089BED6">
      <w:pPr>
        <w:numPr>
          <w:ilvl w:val="0"/>
          <w:numId w:val="3"/>
        </w:num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所有系统报价需要包含对应系统的基础硬件，保证系统的正常使用。</w:t>
      </w:r>
    </w:p>
    <w:p w14:paraId="3D92D19D">
      <w:pPr>
        <w:numPr>
          <w:ilvl w:val="0"/>
          <w:numId w:val="3"/>
        </w:num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所有报价系统需满足在国产化操作系统及数据库上部署。</w:t>
      </w:r>
    </w:p>
    <w:p w14:paraId="11CE46D1">
      <w:pPr>
        <w:numPr>
          <w:ilvl w:val="0"/>
          <w:numId w:val="3"/>
        </w:num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报价需包含与医院现有系统对接、过往已有的各类接口对接及第三方系统所需的接口对接费用</w:t>
      </w:r>
    </w:p>
    <w:p w14:paraId="4CB7AD4B">
      <w:pPr>
        <w:numPr>
          <w:ilvl w:val="0"/>
          <w:numId w:val="3"/>
        </w:numPr>
        <w:spacing w:before="163"/>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报价需包含项目建设期、免费维护期内新增的系统接口。</w:t>
      </w: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440" w:right="1080" w:bottom="1440" w:left="1080" w:header="851" w:footer="992"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4121470"/>
      <w:docPartObj>
        <w:docPartGallery w:val="autotext"/>
      </w:docPartObj>
    </w:sdtPr>
    <w:sdtContent>
      <w:p w14:paraId="49485735">
        <w:pPr>
          <w:pStyle w:val="17"/>
          <w:spacing w:before="120"/>
          <w:ind w:firstLine="360"/>
          <w:jc w:val="center"/>
        </w:pPr>
        <w:r>
          <w:fldChar w:fldCharType="begin"/>
        </w:r>
        <w:r>
          <w:instrText xml:space="preserve">PAGE   \* MERGEFORMAT</w:instrText>
        </w:r>
        <w:r>
          <w:fldChar w:fldCharType="separate"/>
        </w:r>
        <w:r>
          <w:rPr>
            <w:lang w:val="zh-CN"/>
          </w:rPr>
          <w:t>2</w:t>
        </w:r>
        <w:r>
          <w:fldChar w:fldCharType="end"/>
        </w:r>
      </w:p>
    </w:sdtContent>
  </w:sdt>
  <w:p w14:paraId="33E5846F">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09142">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3AEA8">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18203">
    <w:pPr>
      <w:pStyle w:val="18"/>
      <w:tabs>
        <w:tab w:val="left" w:pos="4230"/>
      </w:tabs>
      <w:ind w:firstLine="0" w:firstLineChars="0"/>
      <w:jc w:val="left"/>
    </w:pPr>
    <w:r>
      <w:tab/>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30A11">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96B83">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C6C9A"/>
    <w:multiLevelType w:val="singleLevel"/>
    <w:tmpl w:val="123C6C9A"/>
    <w:lvl w:ilvl="0" w:tentative="0">
      <w:start w:val="2"/>
      <w:numFmt w:val="chineseCounting"/>
      <w:suff w:val="nothing"/>
      <w:lvlText w:val="%1、"/>
      <w:lvlJc w:val="left"/>
      <w:rPr>
        <w:rFonts w:hint="eastAsia"/>
      </w:rPr>
    </w:lvl>
  </w:abstractNum>
  <w:abstractNum w:abstractNumId="1">
    <w:nsid w:val="2C33529C"/>
    <w:multiLevelType w:val="multilevel"/>
    <w:tmpl w:val="2C33529C"/>
    <w:lvl w:ilvl="0" w:tentative="0">
      <w:start w:val="1"/>
      <w:numFmt w:val="decimal"/>
      <w:pStyle w:val="2"/>
      <w:lvlText w:val="第%1章"/>
      <w:lvlJc w:val="left"/>
      <w:pPr>
        <w:ind w:left="0" w:firstLine="0"/>
      </w:pPr>
      <w:rPr>
        <w:rFonts w:hint="eastAsia"/>
      </w:rPr>
    </w:lvl>
    <w:lvl w:ilvl="1" w:tentative="0">
      <w:start w:val="1"/>
      <w:numFmt w:val="decimal"/>
      <w:pStyle w:val="3"/>
      <w:suff w:val="space"/>
      <w:lvlText w:val="%1.%2"/>
      <w:lvlJc w:val="left"/>
      <w:pPr>
        <w:ind w:left="708" w:firstLine="0"/>
      </w:pPr>
      <w:rPr>
        <w:rFonts w:hint="eastAsia"/>
      </w:rPr>
    </w:lvl>
    <w:lvl w:ilvl="2" w:tentative="0">
      <w:start w:val="1"/>
      <w:numFmt w:val="decimal"/>
      <w:pStyle w:val="4"/>
      <w:lvlText w:val="%1.%2.%3"/>
      <w:lvlJc w:val="left"/>
      <w:pPr>
        <w:ind w:left="0" w:firstLine="0"/>
      </w:pPr>
      <w:rPr>
        <w:rFonts w:hint="eastAsia"/>
      </w:rPr>
    </w:lvl>
    <w:lvl w:ilvl="3" w:tentative="0">
      <w:start w:val="1"/>
      <w:numFmt w:val="decimal"/>
      <w:pStyle w:val="5"/>
      <w:lvlText w:val="%1.%2.%3.%4"/>
      <w:lvlJc w:val="left"/>
      <w:pPr>
        <w:ind w:left="0" w:firstLine="0"/>
      </w:pPr>
      <w:rPr>
        <w:rFonts w:hint="eastAsia"/>
      </w:rPr>
    </w:lvl>
    <w:lvl w:ilvl="4" w:tentative="0">
      <w:start w:val="1"/>
      <w:numFmt w:val="decimal"/>
      <w:pStyle w:val="6"/>
      <w:lvlText w:val="%1.%2.%3.%4.%5"/>
      <w:lvlJc w:val="left"/>
      <w:pPr>
        <w:ind w:left="0" w:firstLine="0"/>
      </w:pPr>
      <w:rPr>
        <w:rFonts w:hint="eastAsia"/>
      </w:rPr>
    </w:lvl>
    <w:lvl w:ilvl="5" w:tentative="0">
      <w:start w:val="1"/>
      <w:numFmt w:val="decimal"/>
      <w:pStyle w:val="7"/>
      <w:lvlText w:val="%1.%2.%3.%4.%5.%6"/>
      <w:lvlJc w:val="left"/>
      <w:pPr>
        <w:ind w:left="0" w:firstLine="0"/>
      </w:pPr>
      <w:rPr>
        <w:rFonts w:hint="eastAsia"/>
      </w:rPr>
    </w:lvl>
    <w:lvl w:ilvl="6" w:tentative="0">
      <w:start w:val="1"/>
      <w:numFmt w:val="decimal"/>
      <w:pStyle w:val="8"/>
      <w:lvlText w:val="%1.%2.%3.%4.%5.%6.%7"/>
      <w:lvlJc w:val="left"/>
      <w:pPr>
        <w:ind w:left="0" w:firstLine="0"/>
      </w:pPr>
      <w:rPr>
        <w:rFonts w:hint="eastAsia"/>
      </w:rPr>
    </w:lvl>
    <w:lvl w:ilvl="7" w:tentative="0">
      <w:start w:val="1"/>
      <w:numFmt w:val="decimal"/>
      <w:pStyle w:val="9"/>
      <w:lvlText w:val="%1.%2.%3.%4.%5.%6.%7.%8"/>
      <w:lvlJc w:val="left"/>
      <w:pPr>
        <w:ind w:left="0" w:firstLine="0"/>
      </w:pPr>
      <w:rPr>
        <w:rFonts w:hint="eastAsia"/>
      </w:rPr>
    </w:lvl>
    <w:lvl w:ilvl="8" w:tentative="0">
      <w:start w:val="1"/>
      <w:numFmt w:val="decimal"/>
      <w:pStyle w:val="10"/>
      <w:lvlText w:val="%1.%2.%3.%4.%5.%6.%7.%8.%9"/>
      <w:lvlJc w:val="left"/>
      <w:pPr>
        <w:ind w:left="0" w:firstLine="0"/>
      </w:pPr>
      <w:rPr>
        <w:rFonts w:hint="eastAsia"/>
      </w:rPr>
    </w:lvl>
  </w:abstractNum>
  <w:abstractNum w:abstractNumId="2">
    <w:nsid w:val="2C91DC9C"/>
    <w:multiLevelType w:val="singleLevel"/>
    <w:tmpl w:val="2C91DC9C"/>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F0"/>
    <w:rsid w:val="00014169"/>
    <w:rsid w:val="00023B98"/>
    <w:rsid w:val="00055685"/>
    <w:rsid w:val="00066B0A"/>
    <w:rsid w:val="00071BEB"/>
    <w:rsid w:val="000749C7"/>
    <w:rsid w:val="000815BC"/>
    <w:rsid w:val="000D1D94"/>
    <w:rsid w:val="000D72B0"/>
    <w:rsid w:val="000E308E"/>
    <w:rsid w:val="000E3231"/>
    <w:rsid w:val="00106B8E"/>
    <w:rsid w:val="00107719"/>
    <w:rsid w:val="00126D7B"/>
    <w:rsid w:val="001474CD"/>
    <w:rsid w:val="00156C16"/>
    <w:rsid w:val="00163209"/>
    <w:rsid w:val="00164A90"/>
    <w:rsid w:val="00166F1D"/>
    <w:rsid w:val="00196080"/>
    <w:rsid w:val="001A12DD"/>
    <w:rsid w:val="001C7CDF"/>
    <w:rsid w:val="001F04B7"/>
    <w:rsid w:val="001F46C6"/>
    <w:rsid w:val="002143CE"/>
    <w:rsid w:val="00252BFD"/>
    <w:rsid w:val="0028641B"/>
    <w:rsid w:val="002877B9"/>
    <w:rsid w:val="00296F5F"/>
    <w:rsid w:val="002A7215"/>
    <w:rsid w:val="002B197E"/>
    <w:rsid w:val="002C7895"/>
    <w:rsid w:val="002F750D"/>
    <w:rsid w:val="003014E6"/>
    <w:rsid w:val="00311839"/>
    <w:rsid w:val="00333B33"/>
    <w:rsid w:val="00350BE4"/>
    <w:rsid w:val="00353F0F"/>
    <w:rsid w:val="0039542B"/>
    <w:rsid w:val="003B07F5"/>
    <w:rsid w:val="003D0A00"/>
    <w:rsid w:val="00401D61"/>
    <w:rsid w:val="0041657D"/>
    <w:rsid w:val="00437581"/>
    <w:rsid w:val="0047141E"/>
    <w:rsid w:val="0047328D"/>
    <w:rsid w:val="00476838"/>
    <w:rsid w:val="00483929"/>
    <w:rsid w:val="004A18F7"/>
    <w:rsid w:val="004B6325"/>
    <w:rsid w:val="004D45B1"/>
    <w:rsid w:val="004D5089"/>
    <w:rsid w:val="00512C0A"/>
    <w:rsid w:val="00520381"/>
    <w:rsid w:val="00521AAB"/>
    <w:rsid w:val="00571FC7"/>
    <w:rsid w:val="00582BAD"/>
    <w:rsid w:val="00593B3E"/>
    <w:rsid w:val="005A0404"/>
    <w:rsid w:val="005E3F52"/>
    <w:rsid w:val="005E773A"/>
    <w:rsid w:val="00620483"/>
    <w:rsid w:val="00637EAA"/>
    <w:rsid w:val="006429B5"/>
    <w:rsid w:val="00661818"/>
    <w:rsid w:val="00697C21"/>
    <w:rsid w:val="006A0ECB"/>
    <w:rsid w:val="006A5375"/>
    <w:rsid w:val="006B0B54"/>
    <w:rsid w:val="006B21D3"/>
    <w:rsid w:val="007005E1"/>
    <w:rsid w:val="00702A18"/>
    <w:rsid w:val="00720235"/>
    <w:rsid w:val="007332C8"/>
    <w:rsid w:val="00735242"/>
    <w:rsid w:val="00746BCD"/>
    <w:rsid w:val="00757B37"/>
    <w:rsid w:val="007629FE"/>
    <w:rsid w:val="00792351"/>
    <w:rsid w:val="007A6387"/>
    <w:rsid w:val="007B0F4A"/>
    <w:rsid w:val="008071C6"/>
    <w:rsid w:val="008869A1"/>
    <w:rsid w:val="00895B3C"/>
    <w:rsid w:val="008A3027"/>
    <w:rsid w:val="008B240C"/>
    <w:rsid w:val="008D1AAF"/>
    <w:rsid w:val="008F3E9B"/>
    <w:rsid w:val="008F4017"/>
    <w:rsid w:val="00905014"/>
    <w:rsid w:val="009078CA"/>
    <w:rsid w:val="00922F08"/>
    <w:rsid w:val="009317A1"/>
    <w:rsid w:val="00931B0E"/>
    <w:rsid w:val="00942BAE"/>
    <w:rsid w:val="00961FDD"/>
    <w:rsid w:val="00971CD6"/>
    <w:rsid w:val="00991A19"/>
    <w:rsid w:val="009B61BA"/>
    <w:rsid w:val="009C221B"/>
    <w:rsid w:val="009D7540"/>
    <w:rsid w:val="009E361C"/>
    <w:rsid w:val="00A03C97"/>
    <w:rsid w:val="00A050F2"/>
    <w:rsid w:val="00A14DDA"/>
    <w:rsid w:val="00A542BB"/>
    <w:rsid w:val="00A65D4E"/>
    <w:rsid w:val="00A87DF0"/>
    <w:rsid w:val="00AA0600"/>
    <w:rsid w:val="00AB0B88"/>
    <w:rsid w:val="00AB1425"/>
    <w:rsid w:val="00AB6352"/>
    <w:rsid w:val="00AC0031"/>
    <w:rsid w:val="00AC1F6E"/>
    <w:rsid w:val="00B07084"/>
    <w:rsid w:val="00B17B1C"/>
    <w:rsid w:val="00B24535"/>
    <w:rsid w:val="00B449FD"/>
    <w:rsid w:val="00B62EF9"/>
    <w:rsid w:val="00B737C1"/>
    <w:rsid w:val="00C026C2"/>
    <w:rsid w:val="00C239D9"/>
    <w:rsid w:val="00C344C2"/>
    <w:rsid w:val="00C34690"/>
    <w:rsid w:val="00C472DB"/>
    <w:rsid w:val="00C56B7F"/>
    <w:rsid w:val="00C57DA9"/>
    <w:rsid w:val="00C7672C"/>
    <w:rsid w:val="00C9052C"/>
    <w:rsid w:val="00C96C6A"/>
    <w:rsid w:val="00CC5AD7"/>
    <w:rsid w:val="00CC719E"/>
    <w:rsid w:val="00D17D4B"/>
    <w:rsid w:val="00D21E7C"/>
    <w:rsid w:val="00D31211"/>
    <w:rsid w:val="00D73898"/>
    <w:rsid w:val="00D9521C"/>
    <w:rsid w:val="00DA6EE0"/>
    <w:rsid w:val="00DB1596"/>
    <w:rsid w:val="00DB3155"/>
    <w:rsid w:val="00DB6863"/>
    <w:rsid w:val="00DC1771"/>
    <w:rsid w:val="00DC3E40"/>
    <w:rsid w:val="00DE0109"/>
    <w:rsid w:val="00E25A07"/>
    <w:rsid w:val="00E27406"/>
    <w:rsid w:val="00E81A7C"/>
    <w:rsid w:val="00E97E22"/>
    <w:rsid w:val="00EB38A7"/>
    <w:rsid w:val="00EB3CA5"/>
    <w:rsid w:val="00EE47CC"/>
    <w:rsid w:val="00F04B58"/>
    <w:rsid w:val="00F50811"/>
    <w:rsid w:val="00F54192"/>
    <w:rsid w:val="00F57405"/>
    <w:rsid w:val="00F86E6F"/>
    <w:rsid w:val="00F957C1"/>
    <w:rsid w:val="00FA60AB"/>
    <w:rsid w:val="00FC45CE"/>
    <w:rsid w:val="17947DED"/>
    <w:rsid w:val="2A693868"/>
    <w:rsid w:val="2D134798"/>
    <w:rsid w:val="35C138B9"/>
    <w:rsid w:val="4A1A65DC"/>
    <w:rsid w:val="765407C0"/>
    <w:rsid w:val="76913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50" w:beforeLines="50" w:line="360" w:lineRule="auto"/>
      <w:ind w:firstLine="200" w:firstLineChars="200"/>
    </w:pPr>
    <w:rPr>
      <w:rFonts w:eastAsia="宋体" w:cs="宋体" w:asciiTheme="minorHAnsi" w:hAnsiTheme="minorHAnsi"/>
      <w:kern w:val="0"/>
      <w:sz w:val="24"/>
      <w:szCs w:val="22"/>
      <w:lang w:val="zh-CN" w:eastAsia="zh-CN" w:bidi="zh-CN"/>
    </w:rPr>
  </w:style>
  <w:style w:type="paragraph" w:styleId="2">
    <w:name w:val="heading 1"/>
    <w:basedOn w:val="1"/>
    <w:next w:val="1"/>
    <w:link w:val="26"/>
    <w:autoRedefine/>
    <w:qFormat/>
    <w:uiPriority w:val="9"/>
    <w:pPr>
      <w:keepNext/>
      <w:keepLines/>
      <w:widowControl/>
      <w:numPr>
        <w:ilvl w:val="0"/>
        <w:numId w:val="1"/>
      </w:numPr>
      <w:autoSpaceDE/>
      <w:autoSpaceDN/>
      <w:spacing w:before="100" w:beforeLines="100" w:after="100" w:afterLines="100"/>
      <w:ind w:firstLineChars="0"/>
      <w:jc w:val="center"/>
      <w:outlineLvl w:val="0"/>
    </w:pPr>
    <w:rPr>
      <w:rFonts w:ascii="宋体" w:hAnsi="宋体" w:cstheme="minorBidi"/>
      <w:b/>
      <w:bCs/>
      <w:kern w:val="44"/>
      <w:sz w:val="32"/>
      <w:szCs w:val="44"/>
      <w:lang w:val="en-US" w:bidi="ar-SA"/>
    </w:rPr>
  </w:style>
  <w:style w:type="paragraph" w:styleId="3">
    <w:name w:val="heading 2"/>
    <w:basedOn w:val="1"/>
    <w:next w:val="1"/>
    <w:link w:val="29"/>
    <w:autoRedefine/>
    <w:unhideWhenUsed/>
    <w:qFormat/>
    <w:uiPriority w:val="9"/>
    <w:pPr>
      <w:keepNext/>
      <w:keepLines/>
      <w:widowControl/>
      <w:numPr>
        <w:ilvl w:val="1"/>
        <w:numId w:val="1"/>
      </w:numPr>
      <w:autoSpaceDE/>
      <w:autoSpaceDN/>
      <w:spacing w:before="156" w:after="156" w:afterLines="50"/>
      <w:ind w:left="0" w:firstLineChars="0"/>
      <w:outlineLvl w:val="1"/>
    </w:pPr>
    <w:rPr>
      <w:rFonts w:ascii="宋体" w:hAnsi="宋体" w:cstheme="majorBidi"/>
      <w:b/>
      <w:kern w:val="2"/>
      <w:sz w:val="28"/>
      <w:szCs w:val="28"/>
      <w:lang w:val="en-US" w:bidi="ar-SA"/>
    </w:rPr>
  </w:style>
  <w:style w:type="paragraph" w:styleId="4">
    <w:name w:val="heading 3"/>
    <w:basedOn w:val="1"/>
    <w:next w:val="1"/>
    <w:link w:val="27"/>
    <w:autoRedefine/>
    <w:unhideWhenUsed/>
    <w:qFormat/>
    <w:uiPriority w:val="9"/>
    <w:pPr>
      <w:keepNext/>
      <w:keepLines/>
      <w:widowControl/>
      <w:numPr>
        <w:ilvl w:val="2"/>
        <w:numId w:val="1"/>
      </w:numPr>
      <w:autoSpaceDE/>
      <w:autoSpaceDN/>
      <w:spacing w:before="100" w:beforeLines="100" w:after="100" w:afterLines="100"/>
      <w:ind w:firstLineChars="0"/>
      <w:outlineLvl w:val="2"/>
    </w:pPr>
    <w:rPr>
      <w:rFonts w:ascii="宋体" w:hAnsi="宋体" w:cstheme="minorBidi"/>
      <w:b/>
      <w:kern w:val="2"/>
      <w:szCs w:val="28"/>
      <w:lang w:val="en-US" w:bidi="ar-SA"/>
    </w:rPr>
  </w:style>
  <w:style w:type="paragraph" w:styleId="5">
    <w:name w:val="heading 4"/>
    <w:basedOn w:val="1"/>
    <w:next w:val="1"/>
    <w:link w:val="28"/>
    <w:autoRedefine/>
    <w:qFormat/>
    <w:uiPriority w:val="0"/>
    <w:pPr>
      <w:numPr>
        <w:ilvl w:val="3"/>
        <w:numId w:val="1"/>
      </w:numPr>
      <w:tabs>
        <w:tab w:val="left" w:pos="864"/>
      </w:tabs>
      <w:spacing w:before="100" w:beforeLines="100" w:after="100" w:afterLines="100"/>
      <w:ind w:firstLineChars="0"/>
      <w:outlineLvl w:val="3"/>
    </w:pPr>
    <w:rPr>
      <w:rFonts w:ascii="宋体" w:hAnsi="宋体"/>
      <w:b/>
      <w:bCs/>
      <w:szCs w:val="28"/>
      <w:lang w:val="en-US"/>
    </w:rPr>
  </w:style>
  <w:style w:type="paragraph" w:styleId="6">
    <w:name w:val="heading 5"/>
    <w:basedOn w:val="1"/>
    <w:next w:val="1"/>
    <w:link w:val="35"/>
    <w:autoRedefine/>
    <w:unhideWhenUsed/>
    <w:qFormat/>
    <w:uiPriority w:val="0"/>
    <w:pPr>
      <w:keepNext/>
      <w:keepLines/>
      <w:numPr>
        <w:ilvl w:val="4"/>
        <w:numId w:val="1"/>
      </w:numPr>
      <w:autoSpaceDE/>
      <w:autoSpaceDN/>
      <w:spacing w:before="120" w:beforeLines="0" w:after="120"/>
      <w:ind w:firstLineChars="0"/>
      <w:jc w:val="both"/>
      <w:outlineLvl w:val="4"/>
    </w:pPr>
    <w:rPr>
      <w:rFonts w:ascii="宋体" w:hAnsi="宋体" w:cs="Times New Roman"/>
      <w:bCs/>
      <w:kern w:val="2"/>
      <w:szCs w:val="28"/>
      <w:lang w:val="en-US" w:bidi="ar-SA"/>
    </w:rPr>
  </w:style>
  <w:style w:type="paragraph" w:styleId="7">
    <w:name w:val="heading 6"/>
    <w:basedOn w:val="1"/>
    <w:next w:val="1"/>
    <w:link w:val="41"/>
    <w:unhideWhenUsed/>
    <w:qFormat/>
    <w:uiPriority w:val="0"/>
    <w:pPr>
      <w:keepNext/>
      <w:keepLines/>
      <w:numPr>
        <w:ilvl w:val="5"/>
        <w:numId w:val="1"/>
      </w:numPr>
      <w:spacing w:before="240" w:beforeLines="0" w:after="64" w:line="317" w:lineRule="auto"/>
      <w:ind w:firstLineChars="0"/>
      <w:outlineLvl w:val="5"/>
    </w:pPr>
    <w:rPr>
      <w:rFonts w:ascii="宋体" w:hAnsi="宋体"/>
    </w:rPr>
  </w:style>
  <w:style w:type="paragraph" w:styleId="8">
    <w:name w:val="heading 7"/>
    <w:basedOn w:val="1"/>
    <w:next w:val="1"/>
    <w:link w:val="42"/>
    <w:unhideWhenUsed/>
    <w:qFormat/>
    <w:uiPriority w:val="0"/>
    <w:pPr>
      <w:keepNext/>
      <w:keepLines/>
      <w:numPr>
        <w:ilvl w:val="6"/>
        <w:numId w:val="1"/>
      </w:numPr>
      <w:spacing w:before="240" w:beforeLines="0" w:after="64" w:line="317" w:lineRule="auto"/>
      <w:ind w:firstLineChars="0"/>
      <w:outlineLvl w:val="6"/>
    </w:pPr>
    <w:rPr>
      <w:rFonts w:ascii="宋体" w:hAnsi="宋体"/>
    </w:rPr>
  </w:style>
  <w:style w:type="paragraph" w:styleId="9">
    <w:name w:val="heading 8"/>
    <w:basedOn w:val="1"/>
    <w:next w:val="1"/>
    <w:link w:val="43"/>
    <w:unhideWhenUsed/>
    <w:qFormat/>
    <w:uiPriority w:val="0"/>
    <w:pPr>
      <w:keepNext/>
      <w:keepLines/>
      <w:numPr>
        <w:ilvl w:val="7"/>
        <w:numId w:val="1"/>
      </w:numPr>
      <w:spacing w:before="240" w:beforeLines="0" w:after="64" w:line="317" w:lineRule="auto"/>
      <w:ind w:firstLineChars="0"/>
      <w:outlineLvl w:val="7"/>
    </w:pPr>
    <w:rPr>
      <w:rFonts w:ascii="宋体" w:hAnsi="宋体"/>
    </w:rPr>
  </w:style>
  <w:style w:type="paragraph" w:styleId="10">
    <w:name w:val="heading 9"/>
    <w:basedOn w:val="1"/>
    <w:next w:val="1"/>
    <w:link w:val="44"/>
    <w:unhideWhenUsed/>
    <w:qFormat/>
    <w:uiPriority w:val="0"/>
    <w:pPr>
      <w:keepNext/>
      <w:keepLines/>
      <w:numPr>
        <w:ilvl w:val="8"/>
        <w:numId w:val="1"/>
      </w:numPr>
      <w:spacing w:before="240" w:beforeLines="0" w:after="64" w:line="317" w:lineRule="auto"/>
      <w:ind w:firstLineChars="0"/>
      <w:outlineLvl w:val="8"/>
    </w:pPr>
    <w:rPr>
      <w:rFonts w:ascii="宋体" w:hAnsi="宋体"/>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autoRedefine/>
    <w:qFormat/>
    <w:uiPriority w:val="0"/>
    <w:pPr>
      <w:autoSpaceDE/>
      <w:autoSpaceDN/>
      <w:spacing w:before="0" w:beforeLines="0"/>
    </w:pPr>
    <w:rPr>
      <w:rFonts w:ascii="Times New Roman" w:hAnsi="Times New Roman" w:eastAsiaTheme="minorEastAsia" w:cstheme="minorBidi"/>
      <w:kern w:val="2"/>
      <w:szCs w:val="20"/>
      <w:lang w:val="en-US" w:bidi="ar-SA"/>
    </w:rPr>
  </w:style>
  <w:style w:type="paragraph" w:styleId="12">
    <w:name w:val="Body Text"/>
    <w:basedOn w:val="1"/>
    <w:link w:val="45"/>
    <w:qFormat/>
    <w:uiPriority w:val="1"/>
    <w:pPr>
      <w:ind w:firstLine="600"/>
    </w:pPr>
    <w:rPr>
      <w:szCs w:val="24"/>
    </w:rPr>
  </w:style>
  <w:style w:type="paragraph" w:styleId="13">
    <w:name w:val="Body Text Indent"/>
    <w:basedOn w:val="1"/>
    <w:link w:val="46"/>
    <w:qFormat/>
    <w:uiPriority w:val="0"/>
    <w:pPr>
      <w:spacing w:line="240" w:lineRule="auto"/>
      <w:ind w:firstLine="480"/>
    </w:pPr>
    <w:rPr>
      <w:rFonts w:ascii="宋体" w:hAnsi="宋体"/>
    </w:rPr>
  </w:style>
  <w:style w:type="paragraph" w:styleId="14">
    <w:name w:val="toc 3"/>
    <w:basedOn w:val="1"/>
    <w:next w:val="1"/>
    <w:autoRedefine/>
    <w:unhideWhenUsed/>
    <w:qFormat/>
    <w:uiPriority w:val="39"/>
    <w:pPr>
      <w:ind w:left="840" w:leftChars="400"/>
    </w:pPr>
  </w:style>
  <w:style w:type="paragraph" w:styleId="15">
    <w:name w:val="Plain Text"/>
    <w:basedOn w:val="1"/>
    <w:link w:val="54"/>
    <w:semiHidden/>
    <w:unhideWhenUsed/>
    <w:qFormat/>
    <w:uiPriority w:val="99"/>
    <w:rPr>
      <w:rFonts w:hAnsi="Courier New" w:cs="Courier New" w:asciiTheme="minorEastAsia" w:eastAsiaTheme="minorEastAsia"/>
    </w:rPr>
  </w:style>
  <w:style w:type="paragraph" w:styleId="16">
    <w:name w:val="Body Text Indent 2"/>
    <w:basedOn w:val="1"/>
    <w:link w:val="47"/>
    <w:qFormat/>
    <w:uiPriority w:val="0"/>
    <w:pPr>
      <w:spacing w:line="240" w:lineRule="auto"/>
      <w:ind w:left="840" w:firstLine="600"/>
    </w:pPr>
    <w:rPr>
      <w:rFonts w:ascii="宋体" w:hAnsi="宋体"/>
      <w:color w:val="000000"/>
    </w:rPr>
  </w:style>
  <w:style w:type="paragraph" w:styleId="17">
    <w:name w:val="footer"/>
    <w:basedOn w:val="1"/>
    <w:link w:val="37"/>
    <w:unhideWhenUsed/>
    <w:qFormat/>
    <w:uiPriority w:val="99"/>
    <w:pPr>
      <w:tabs>
        <w:tab w:val="center" w:pos="4153"/>
        <w:tab w:val="right" w:pos="8306"/>
      </w:tabs>
      <w:autoSpaceDE/>
      <w:autoSpaceDN/>
      <w:snapToGrid w:val="0"/>
      <w:spacing w:before="0" w:beforeLines="0" w:line="240" w:lineRule="auto"/>
    </w:pPr>
    <w:rPr>
      <w:rFonts w:ascii="Times New Roman" w:hAnsi="Times New Roman" w:cs="Times New Roman"/>
      <w:kern w:val="2"/>
      <w:sz w:val="18"/>
      <w:szCs w:val="18"/>
      <w:lang w:val="en-US" w:bidi="ar-SA"/>
    </w:rPr>
  </w:style>
  <w:style w:type="paragraph" w:styleId="18">
    <w:name w:val="header"/>
    <w:basedOn w:val="1"/>
    <w:link w:val="36"/>
    <w:unhideWhenUsed/>
    <w:qFormat/>
    <w:uiPriority w:val="99"/>
    <w:pPr>
      <w:pBdr>
        <w:bottom w:val="single" w:color="auto" w:sz="6" w:space="1"/>
      </w:pBdr>
      <w:tabs>
        <w:tab w:val="center" w:pos="4153"/>
        <w:tab w:val="right" w:pos="8306"/>
      </w:tabs>
      <w:autoSpaceDE/>
      <w:autoSpaceDN/>
      <w:snapToGrid w:val="0"/>
      <w:spacing w:before="0" w:beforeLines="0" w:line="240" w:lineRule="auto"/>
      <w:jc w:val="center"/>
    </w:pPr>
    <w:rPr>
      <w:rFonts w:ascii="Times New Roman" w:hAnsi="Times New Roman" w:cs="Times New Roman"/>
      <w:kern w:val="2"/>
      <w:sz w:val="18"/>
      <w:szCs w:val="18"/>
      <w:lang w:val="en-US" w:bidi="ar-SA"/>
    </w:rPr>
  </w:style>
  <w:style w:type="paragraph" w:styleId="19">
    <w:name w:val="toc 1"/>
    <w:basedOn w:val="1"/>
    <w:next w:val="1"/>
    <w:autoRedefine/>
    <w:unhideWhenUsed/>
    <w:qFormat/>
    <w:uiPriority w:val="39"/>
    <w:pPr>
      <w:tabs>
        <w:tab w:val="left" w:pos="1470"/>
        <w:tab w:val="right" w:leader="dot" w:pos="8296"/>
      </w:tabs>
      <w:spacing w:before="0" w:beforeLines="0" w:line="240" w:lineRule="auto"/>
      <w:ind w:firstLine="480"/>
    </w:pPr>
  </w:style>
  <w:style w:type="paragraph" w:styleId="20">
    <w:name w:val="toc 2"/>
    <w:basedOn w:val="1"/>
    <w:next w:val="1"/>
    <w:autoRedefine/>
    <w:unhideWhenUsed/>
    <w:qFormat/>
    <w:uiPriority w:val="39"/>
    <w:pPr>
      <w:tabs>
        <w:tab w:val="right" w:leader="dot" w:pos="8296"/>
      </w:tabs>
      <w:spacing w:before="0" w:beforeLines="0"/>
      <w:ind w:left="480" w:leftChars="200" w:firstLine="480"/>
    </w:pPr>
  </w:style>
  <w:style w:type="paragraph" w:styleId="21">
    <w:name w:val="Title"/>
    <w:basedOn w:val="1"/>
    <w:next w:val="1"/>
    <w:link w:val="38"/>
    <w:qFormat/>
    <w:uiPriority w:val="0"/>
    <w:pPr>
      <w:spacing w:before="156" w:after="180"/>
      <w:ind w:firstLine="0" w:firstLineChars="0"/>
      <w:jc w:val="center"/>
      <w:outlineLvl w:val="0"/>
    </w:pPr>
    <w:rPr>
      <w:rFonts w:ascii="Cambria" w:hAnsi="Cambria" w:cs="Times New Roman"/>
      <w:b/>
      <w:bCs/>
      <w:sz w:val="44"/>
      <w:szCs w:val="32"/>
      <w:lang w:val="en-US" w:bidi="ar-SA"/>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unhideWhenUsed/>
    <w:qFormat/>
    <w:uiPriority w:val="99"/>
    <w:rPr>
      <w:color w:val="0563C1" w:themeColor="hyperlink"/>
      <w:u w:val="single"/>
      <w14:textFill>
        <w14:solidFill>
          <w14:schemeClr w14:val="hlink"/>
        </w14:solidFill>
      </w14:textFill>
    </w:rPr>
  </w:style>
  <w:style w:type="character" w:customStyle="1" w:styleId="26">
    <w:name w:val="标题 1 字符"/>
    <w:basedOn w:val="24"/>
    <w:link w:val="2"/>
    <w:qFormat/>
    <w:uiPriority w:val="9"/>
    <w:rPr>
      <w:rFonts w:ascii="宋体" w:hAnsi="宋体" w:eastAsia="宋体"/>
      <w:b/>
      <w:bCs/>
      <w:kern w:val="44"/>
      <w:sz w:val="32"/>
      <w:szCs w:val="44"/>
    </w:rPr>
  </w:style>
  <w:style w:type="character" w:customStyle="1" w:styleId="27">
    <w:name w:val="标题 3 字符"/>
    <w:basedOn w:val="24"/>
    <w:link w:val="4"/>
    <w:qFormat/>
    <w:uiPriority w:val="9"/>
    <w:rPr>
      <w:rFonts w:ascii="宋体" w:hAnsi="宋体" w:eastAsia="宋体"/>
      <w:b/>
      <w:sz w:val="24"/>
      <w:szCs w:val="28"/>
    </w:rPr>
  </w:style>
  <w:style w:type="character" w:customStyle="1" w:styleId="28">
    <w:name w:val="标题 4 字符"/>
    <w:basedOn w:val="24"/>
    <w:link w:val="5"/>
    <w:qFormat/>
    <w:uiPriority w:val="0"/>
    <w:rPr>
      <w:rFonts w:ascii="宋体" w:hAnsi="宋体" w:eastAsia="宋体" w:cs="宋体"/>
      <w:b/>
      <w:bCs/>
      <w:kern w:val="0"/>
      <w:sz w:val="24"/>
      <w:szCs w:val="28"/>
      <w:lang w:bidi="zh-CN"/>
    </w:rPr>
  </w:style>
  <w:style w:type="character" w:customStyle="1" w:styleId="29">
    <w:name w:val="标题 2 字符"/>
    <w:basedOn w:val="24"/>
    <w:link w:val="3"/>
    <w:qFormat/>
    <w:uiPriority w:val="9"/>
    <w:rPr>
      <w:rFonts w:ascii="宋体" w:hAnsi="宋体" w:eastAsia="宋体" w:cstheme="majorBidi"/>
      <w:b/>
      <w:sz w:val="28"/>
      <w:szCs w:val="28"/>
    </w:rPr>
  </w:style>
  <w:style w:type="paragraph" w:customStyle="1" w:styleId="30">
    <w:name w:val="规范正文"/>
    <w:basedOn w:val="1"/>
    <w:autoRedefine/>
    <w:qFormat/>
    <w:uiPriority w:val="0"/>
    <w:pPr>
      <w:adjustRightInd w:val="0"/>
      <w:spacing w:before="0" w:beforeLines="0"/>
      <w:textAlignment w:val="baseline"/>
    </w:pPr>
    <w:rPr>
      <w:rFonts w:ascii="Times New Roman" w:hAnsi="Times New Roman"/>
      <w:szCs w:val="20"/>
    </w:rPr>
  </w:style>
  <w:style w:type="paragraph" w:customStyle="1" w:styleId="31">
    <w:name w:val="_正文"/>
    <w:basedOn w:val="1"/>
    <w:link w:val="32"/>
    <w:autoRedefine/>
    <w:qFormat/>
    <w:uiPriority w:val="0"/>
    <w:pPr>
      <w:autoSpaceDE/>
      <w:autoSpaceDN/>
      <w:spacing w:before="0" w:beforeLines="0"/>
      <w:jc w:val="both"/>
    </w:pPr>
    <w:rPr>
      <w:rFonts w:ascii="Times New Roman" w:hAnsi="Times New Roman" w:cs="Times New Roman" w:eastAsiaTheme="minorEastAsia"/>
      <w:kern w:val="2"/>
      <w:szCs w:val="24"/>
      <w:lang w:val="zh-CN" w:eastAsia="zh-CN" w:bidi="ar-SA"/>
    </w:rPr>
  </w:style>
  <w:style w:type="character" w:customStyle="1" w:styleId="32">
    <w:name w:val="_正文 Char"/>
    <w:link w:val="31"/>
    <w:qFormat/>
    <w:locked/>
    <w:uiPriority w:val="0"/>
    <w:rPr>
      <w:rFonts w:ascii="Times New Roman" w:hAnsi="Times New Roman" w:cs="Times New Roman"/>
      <w:sz w:val="24"/>
      <w:szCs w:val="24"/>
      <w:lang w:val="zh-CN" w:eastAsia="zh-CN"/>
    </w:rPr>
  </w:style>
  <w:style w:type="paragraph" w:customStyle="1" w:styleId="33">
    <w:name w:val="！正文"/>
    <w:basedOn w:val="1"/>
    <w:link w:val="34"/>
    <w:autoRedefine/>
    <w:qFormat/>
    <w:uiPriority w:val="0"/>
    <w:pPr>
      <w:autoSpaceDE/>
      <w:autoSpaceDN/>
      <w:spacing w:before="0" w:beforeLines="0"/>
      <w:jc w:val="both"/>
    </w:pPr>
    <w:rPr>
      <w:rFonts w:ascii="Times New Roman" w:hAnsi="Times New Roman" w:cs="Times New Roman"/>
      <w:kern w:val="2"/>
      <w:lang w:val="en-US" w:bidi="ar-SA"/>
    </w:rPr>
  </w:style>
  <w:style w:type="character" w:customStyle="1" w:styleId="34">
    <w:name w:val="！正文 Char"/>
    <w:link w:val="33"/>
    <w:qFormat/>
    <w:locked/>
    <w:uiPriority w:val="0"/>
    <w:rPr>
      <w:rFonts w:ascii="Times New Roman" w:hAnsi="Times New Roman" w:eastAsia="宋体" w:cs="Times New Roman"/>
      <w:sz w:val="24"/>
    </w:rPr>
  </w:style>
  <w:style w:type="character" w:customStyle="1" w:styleId="35">
    <w:name w:val="标题 5 字符"/>
    <w:basedOn w:val="24"/>
    <w:link w:val="6"/>
    <w:qFormat/>
    <w:uiPriority w:val="0"/>
    <w:rPr>
      <w:rFonts w:ascii="宋体" w:hAnsi="宋体" w:eastAsia="宋体" w:cs="Times New Roman"/>
      <w:bCs/>
      <w:sz w:val="24"/>
      <w:szCs w:val="28"/>
    </w:rPr>
  </w:style>
  <w:style w:type="character" w:customStyle="1" w:styleId="36">
    <w:name w:val="页眉 字符"/>
    <w:basedOn w:val="24"/>
    <w:link w:val="18"/>
    <w:qFormat/>
    <w:uiPriority w:val="99"/>
    <w:rPr>
      <w:rFonts w:ascii="Times New Roman" w:hAnsi="Times New Roman" w:eastAsia="宋体" w:cs="Times New Roman"/>
      <w:sz w:val="18"/>
      <w:szCs w:val="18"/>
    </w:rPr>
  </w:style>
  <w:style w:type="character" w:customStyle="1" w:styleId="37">
    <w:name w:val="页脚 字符"/>
    <w:basedOn w:val="24"/>
    <w:link w:val="17"/>
    <w:qFormat/>
    <w:uiPriority w:val="99"/>
    <w:rPr>
      <w:rFonts w:ascii="Times New Roman" w:hAnsi="Times New Roman" w:eastAsia="宋体" w:cs="Times New Roman"/>
      <w:sz w:val="18"/>
      <w:szCs w:val="18"/>
    </w:rPr>
  </w:style>
  <w:style w:type="character" w:customStyle="1" w:styleId="38">
    <w:name w:val="标题 字符"/>
    <w:basedOn w:val="24"/>
    <w:link w:val="21"/>
    <w:qFormat/>
    <w:uiPriority w:val="0"/>
    <w:rPr>
      <w:rFonts w:ascii="Cambria" w:hAnsi="Cambria" w:eastAsia="宋体" w:cs="Times New Roman"/>
      <w:b/>
      <w:bCs/>
      <w:kern w:val="0"/>
      <w:sz w:val="44"/>
      <w:szCs w:val="32"/>
    </w:rPr>
  </w:style>
  <w:style w:type="paragraph" w:customStyle="1" w:styleId="39">
    <w:name w:val="目录"/>
    <w:basedOn w:val="1"/>
    <w:next w:val="11"/>
    <w:link w:val="40"/>
    <w:qFormat/>
    <w:uiPriority w:val="0"/>
    <w:pPr>
      <w:spacing w:after="156" w:afterLines="50"/>
      <w:jc w:val="center"/>
    </w:pPr>
    <w:rPr>
      <w:rFonts w:ascii="Arial" w:hAnsi="Arial" w:eastAsia="黑体"/>
      <w:b/>
      <w:sz w:val="32"/>
      <w:szCs w:val="20"/>
    </w:rPr>
  </w:style>
  <w:style w:type="character" w:customStyle="1" w:styleId="40">
    <w:name w:val="目录 Char"/>
    <w:link w:val="39"/>
    <w:qFormat/>
    <w:uiPriority w:val="0"/>
    <w:rPr>
      <w:rFonts w:ascii="Arial" w:hAnsi="Arial" w:eastAsia="黑体" w:cs="宋体"/>
      <w:b/>
      <w:kern w:val="0"/>
      <w:sz w:val="32"/>
      <w:szCs w:val="20"/>
      <w:lang w:val="zh-CN" w:bidi="zh-CN"/>
    </w:rPr>
  </w:style>
  <w:style w:type="character" w:customStyle="1" w:styleId="41">
    <w:name w:val="标题 6 字符"/>
    <w:basedOn w:val="24"/>
    <w:link w:val="7"/>
    <w:qFormat/>
    <w:uiPriority w:val="0"/>
    <w:rPr>
      <w:rFonts w:ascii="宋体" w:hAnsi="宋体" w:eastAsia="宋体" w:cs="宋体"/>
      <w:kern w:val="0"/>
      <w:sz w:val="24"/>
      <w:lang w:val="zh-CN" w:bidi="zh-CN"/>
    </w:rPr>
  </w:style>
  <w:style w:type="character" w:customStyle="1" w:styleId="42">
    <w:name w:val="标题 7 字符"/>
    <w:basedOn w:val="24"/>
    <w:link w:val="8"/>
    <w:qFormat/>
    <w:uiPriority w:val="0"/>
    <w:rPr>
      <w:rFonts w:ascii="宋体" w:hAnsi="宋体" w:eastAsia="宋体" w:cs="宋体"/>
      <w:kern w:val="0"/>
      <w:sz w:val="24"/>
      <w:lang w:val="zh-CN" w:bidi="zh-CN"/>
    </w:rPr>
  </w:style>
  <w:style w:type="character" w:customStyle="1" w:styleId="43">
    <w:name w:val="标题 8 字符"/>
    <w:basedOn w:val="24"/>
    <w:link w:val="9"/>
    <w:qFormat/>
    <w:uiPriority w:val="0"/>
    <w:rPr>
      <w:rFonts w:ascii="宋体" w:hAnsi="宋体" w:eastAsia="宋体" w:cs="宋体"/>
      <w:kern w:val="0"/>
      <w:sz w:val="24"/>
      <w:lang w:val="zh-CN" w:bidi="zh-CN"/>
    </w:rPr>
  </w:style>
  <w:style w:type="character" w:customStyle="1" w:styleId="44">
    <w:name w:val="标题 9 字符"/>
    <w:basedOn w:val="24"/>
    <w:link w:val="10"/>
    <w:qFormat/>
    <w:uiPriority w:val="0"/>
    <w:rPr>
      <w:rFonts w:ascii="宋体" w:hAnsi="宋体" w:eastAsia="宋体" w:cs="宋体"/>
      <w:kern w:val="0"/>
      <w:sz w:val="24"/>
      <w:lang w:val="zh-CN" w:bidi="zh-CN"/>
    </w:rPr>
  </w:style>
  <w:style w:type="character" w:customStyle="1" w:styleId="45">
    <w:name w:val="正文文本 字符"/>
    <w:basedOn w:val="24"/>
    <w:link w:val="12"/>
    <w:qFormat/>
    <w:uiPriority w:val="1"/>
    <w:rPr>
      <w:rFonts w:eastAsia="宋体" w:cs="宋体"/>
      <w:kern w:val="0"/>
      <w:sz w:val="24"/>
      <w:szCs w:val="24"/>
      <w:lang w:val="zh-CN" w:bidi="zh-CN"/>
    </w:rPr>
  </w:style>
  <w:style w:type="character" w:customStyle="1" w:styleId="46">
    <w:name w:val="正文文本缩进 字符"/>
    <w:basedOn w:val="24"/>
    <w:link w:val="13"/>
    <w:qFormat/>
    <w:uiPriority w:val="0"/>
    <w:rPr>
      <w:rFonts w:ascii="宋体" w:hAnsi="宋体" w:eastAsia="宋体" w:cs="宋体"/>
      <w:kern w:val="0"/>
      <w:sz w:val="24"/>
      <w:lang w:val="zh-CN" w:bidi="zh-CN"/>
    </w:rPr>
  </w:style>
  <w:style w:type="character" w:customStyle="1" w:styleId="47">
    <w:name w:val="正文文本缩进 2 字符"/>
    <w:basedOn w:val="24"/>
    <w:link w:val="16"/>
    <w:qFormat/>
    <w:uiPriority w:val="0"/>
    <w:rPr>
      <w:rFonts w:ascii="宋体" w:hAnsi="宋体" w:eastAsia="宋体" w:cs="宋体"/>
      <w:color w:val="000000"/>
      <w:kern w:val="0"/>
      <w:sz w:val="24"/>
      <w:lang w:val="zh-CN" w:bidi="zh-CN"/>
    </w:rPr>
  </w:style>
  <w:style w:type="paragraph" w:customStyle="1" w:styleId="48">
    <w:name w:val="样式3"/>
    <w:basedOn w:val="1"/>
    <w:next w:val="1"/>
    <w:qFormat/>
    <w:uiPriority w:val="0"/>
    <w:pPr>
      <w:widowControl/>
      <w:adjustRightInd w:val="0"/>
      <w:snapToGrid w:val="0"/>
      <w:spacing w:line="440" w:lineRule="atLeast"/>
      <w:ind w:firstLine="425"/>
    </w:pPr>
    <w:rPr>
      <w:szCs w:val="20"/>
    </w:rPr>
  </w:style>
  <w:style w:type="paragraph" w:customStyle="1" w:styleId="49">
    <w:name w:val="Table Paragraph"/>
    <w:basedOn w:val="1"/>
    <w:qFormat/>
    <w:uiPriority w:val="1"/>
    <w:pPr>
      <w:spacing w:line="240" w:lineRule="auto"/>
      <w:ind w:firstLine="600"/>
    </w:pPr>
    <w:rPr>
      <w:rFonts w:ascii="宋体" w:hAnsi="宋体"/>
      <w:sz w:val="21"/>
    </w:rPr>
  </w:style>
  <w:style w:type="paragraph" w:customStyle="1" w:styleId="50">
    <w:name w:val="样式2"/>
    <w:basedOn w:val="1"/>
    <w:qFormat/>
    <w:uiPriority w:val="0"/>
    <w:pPr>
      <w:spacing w:line="440" w:lineRule="exact"/>
      <w:ind w:firstLine="539"/>
    </w:pPr>
    <w:rPr>
      <w:szCs w:val="20"/>
    </w:rPr>
  </w:style>
  <w:style w:type="paragraph" w:customStyle="1" w:styleId="51">
    <w:name w:val="日期1"/>
    <w:basedOn w:val="1"/>
    <w:next w:val="1"/>
    <w:qFormat/>
    <w:uiPriority w:val="0"/>
    <w:pPr>
      <w:adjustRightInd w:val="0"/>
      <w:spacing w:line="312" w:lineRule="atLeast"/>
      <w:ind w:firstLine="600"/>
      <w:textAlignment w:val="baseline"/>
    </w:pPr>
    <w:rPr>
      <w:szCs w:val="20"/>
    </w:rPr>
  </w:style>
  <w:style w:type="paragraph" w:customStyle="1" w:styleId="52">
    <w:name w:val="texte"/>
    <w:basedOn w:val="1"/>
    <w:qFormat/>
    <w:uiPriority w:val="0"/>
    <w:pPr>
      <w:keepLines/>
      <w:widowControl/>
      <w:tabs>
        <w:tab w:val="left" w:pos="0"/>
      </w:tabs>
      <w:overflowPunct w:val="0"/>
      <w:adjustRightInd w:val="0"/>
      <w:spacing w:before="120" w:line="440" w:lineRule="atLeast"/>
      <w:ind w:firstLine="540"/>
      <w:textAlignment w:val="baseline"/>
    </w:pPr>
    <w:rPr>
      <w:rFonts w:ascii="宋体"/>
      <w:szCs w:val="20"/>
    </w:rPr>
  </w:style>
  <w:style w:type="paragraph" w:customStyle="1" w:styleId="53">
    <w:name w:val="正 文 1"/>
    <w:basedOn w:val="1"/>
    <w:next w:val="15"/>
    <w:qFormat/>
    <w:uiPriority w:val="0"/>
    <w:pPr>
      <w:adjustRightInd w:val="0"/>
      <w:spacing w:before="120" w:after="120" w:line="312" w:lineRule="atLeast"/>
      <w:ind w:firstLine="600"/>
      <w:textAlignment w:val="baseline"/>
    </w:pPr>
    <w:rPr>
      <w:rFonts w:ascii="宋体" w:hAnsi="Courier New"/>
      <w:szCs w:val="20"/>
    </w:rPr>
  </w:style>
  <w:style w:type="character" w:customStyle="1" w:styleId="54">
    <w:name w:val="纯文本 字符"/>
    <w:basedOn w:val="24"/>
    <w:link w:val="15"/>
    <w:semiHidden/>
    <w:qFormat/>
    <w:uiPriority w:val="99"/>
    <w:rPr>
      <w:rFonts w:hAnsi="Courier New" w:cs="Courier New" w:asciiTheme="minorEastAsia"/>
      <w:kern w:val="0"/>
      <w:sz w:val="24"/>
      <w:lang w:val="zh-CN" w:bidi="zh-CN"/>
    </w:rPr>
  </w:style>
  <w:style w:type="paragraph" w:styleId="55">
    <w:name w:val="List Paragraph"/>
    <w:basedOn w:val="1"/>
    <w:qFormat/>
    <w:uiPriority w:val="0"/>
    <w:pPr>
      <w:spacing w:line="240" w:lineRule="auto"/>
      <w:ind w:left="1100" w:hanging="421"/>
    </w:pPr>
    <w:rPr>
      <w:rFonts w:ascii="宋体" w:hAnsi="宋体"/>
      <w:sz w:val="21"/>
    </w:rPr>
  </w:style>
  <w:style w:type="paragraph" w:customStyle="1" w:styleId="56">
    <w:name w:val="TOC Heading"/>
    <w:basedOn w:val="2"/>
    <w:next w:val="1"/>
    <w:unhideWhenUsed/>
    <w:qFormat/>
    <w:uiPriority w:val="39"/>
    <w:pPr>
      <w:numPr>
        <w:numId w:val="0"/>
      </w:numPr>
      <w:spacing w:before="240" w:beforeLines="0" w:after="0" w:afterLines="0" w:line="259" w:lineRule="auto"/>
      <w:outlineLvl w:val="9"/>
    </w:pPr>
    <w:rPr>
      <w:rFonts w:asciiTheme="majorHAnsi" w:hAnsiTheme="majorHAnsi" w:eastAsiaTheme="majorEastAsia" w:cstheme="majorBidi"/>
      <w:b w:val="0"/>
      <w:bCs w:val="0"/>
      <w:color w:val="2F5597" w:themeColor="accent1" w:themeShade="BF"/>
      <w:kern w:val="0"/>
      <w:szCs w:val="32"/>
    </w:rPr>
  </w:style>
  <w:style w:type="paragraph" w:customStyle="1" w:styleId="57">
    <w:name w:val="表格样式"/>
    <w:basedOn w:val="1"/>
    <w:link w:val="58"/>
    <w:qFormat/>
    <w:uiPriority w:val="1"/>
    <w:pPr>
      <w:ind w:firstLine="0" w:firstLineChars="0"/>
    </w:pPr>
    <w:rPr>
      <w:lang w:val="en-US" w:bidi="ar-SA"/>
    </w:rPr>
  </w:style>
  <w:style w:type="character" w:customStyle="1" w:styleId="58">
    <w:name w:val="表格样式 字符"/>
    <w:basedOn w:val="24"/>
    <w:link w:val="57"/>
    <w:qFormat/>
    <w:uiPriority w:val="1"/>
    <w:rPr>
      <w:rFonts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EF634-1EFD-4EB0-9012-312F821E78A1}">
  <ds:schemaRefs/>
</ds:datastoreItem>
</file>

<file path=docProps/app.xml><?xml version="1.0" encoding="utf-8"?>
<Properties xmlns="http://schemas.openxmlformats.org/officeDocument/2006/extended-properties" xmlns:vt="http://schemas.openxmlformats.org/officeDocument/2006/docPropsVTypes">
  <Template>Normal</Template>
  <Pages>8</Pages>
  <Words>4312</Words>
  <Characters>4487</Characters>
  <Lines>16</Lines>
  <Paragraphs>4</Paragraphs>
  <TotalTime>324</TotalTime>
  <ScaleCrop>false</ScaleCrop>
  <LinksUpToDate>false</LinksUpToDate>
  <CharactersWithSpaces>4505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2020-12-21T09:20:00Z</dcterms:created>
  <dc:creator>Administrator</dc:creator>
  <cp:lastModifiedBy>霖</cp:lastModifiedBy>
  <cp:lastPrinted>2025-05-30T02:05:46Z</cp:lastPrinted>
  <dcterms:modified xsi:type="dcterms:W3CDTF">2025-05-30T02:42:31Z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eyJoZGlkIjoiNzlmODhiMzQ4Yzg5NDU1NzkyY2MyZWY4OTRiNTJkYzQiLCJ1c2VySWQiOiIyNDQzMTQ2OTgifQ==</vt:lpwstr>
  </property>
  <property fmtid="{D5CDD505-2E9C-101B-9397-08002B2CF9AE}" pid="3" name="KSOProductBuildVer">
    <vt:lpwstr>2052-12.1.0.20784</vt:lpwstr>
  </property>
  <property fmtid="{D5CDD505-2E9C-101B-9397-08002B2CF9AE}" pid="4" name="ICV">
    <vt:lpwstr>13B797C6A10949F7888C603B5C62FA1E_12</vt:lpwstr>
  </property>
</Properties>
</file>