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47A14">
      <w:pPr>
        <w:ind w:left="0" w:leftChars="0" w:firstLine="0" w:firstLineChars="0"/>
        <w:rPr>
          <w:rFonts w:hint="eastAsia" w:ascii="黑体" w:hAnsi="黑体" w:eastAsia="黑体" w:cs="黑体"/>
          <w:color w:val="000000"/>
          <w:kern w:val="0"/>
          <w:sz w:val="36"/>
          <w:szCs w:val="36"/>
        </w:rPr>
      </w:pPr>
      <w:bookmarkStart w:id="0" w:name="_GoBack"/>
      <w:bookmarkEnd w:id="0"/>
      <w:r>
        <w:rPr>
          <w:rFonts w:hint="eastAsia" w:ascii="Times New Roman" w:hAnsi="Times New Roman" w:eastAsia="仿宋_GB2312" w:cs="Times New Roman"/>
          <w:b w:val="0"/>
          <w:bCs/>
          <w:kern w:val="0"/>
          <w:sz w:val="32"/>
          <w:szCs w:val="32"/>
          <w:lang w:val="en" w:eastAsia="zh-CN" w:bidi="ar-SA"/>
        </w:rPr>
        <w:t>附件1</w:t>
      </w:r>
    </w:p>
    <w:p w14:paraId="7D1D032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 w:eastAsia="zh-CN"/>
        </w:rPr>
      </w:pPr>
    </w:p>
    <w:p w14:paraId="4787306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 w:eastAsia="zh-CN"/>
        </w:rPr>
      </w:pPr>
      <w:r>
        <w:rPr>
          <w:rFonts w:hint="eastAsia" w:ascii="方正小标宋简体" w:hAnsi="方正小标宋简体" w:eastAsia="方正小标宋简体" w:cs="方正小标宋简体"/>
          <w:b w:val="0"/>
          <w:bCs w:val="0"/>
          <w:sz w:val="44"/>
          <w:szCs w:val="44"/>
          <w:lang w:val="en" w:eastAsia="zh-CN"/>
        </w:rPr>
        <w:t>个人账户家庭共济异地使用定点医药</w:t>
      </w:r>
    </w:p>
    <w:p w14:paraId="296B5D9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hAnsi="方正小标宋简体" w:eastAsia="方正小标宋简体" w:cs="方正小标宋简体"/>
          <w:b w:val="0"/>
          <w:bCs w:val="0"/>
          <w:sz w:val="44"/>
          <w:szCs w:val="44"/>
          <w:lang w:val="en" w:eastAsia="zh-CN"/>
        </w:rPr>
      </w:pPr>
      <w:r>
        <w:rPr>
          <w:rFonts w:hint="eastAsia" w:ascii="方正小标宋简体" w:hAnsi="方正小标宋简体" w:eastAsia="方正小标宋简体" w:cs="方正小标宋简体"/>
          <w:b w:val="0"/>
          <w:bCs w:val="0"/>
          <w:sz w:val="44"/>
          <w:szCs w:val="44"/>
          <w:lang w:val="en" w:eastAsia="zh-CN"/>
        </w:rPr>
        <w:t>机构接入改造指引</w:t>
      </w:r>
    </w:p>
    <w:p w14:paraId="517D583D">
      <w:pPr>
        <w:pStyle w:val="2"/>
        <w:ind w:firstLine="240"/>
      </w:pPr>
    </w:p>
    <w:p w14:paraId="069E3C6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根据广东省医疗保障局关于根据《广东省医疗保障局 国家税务总局广东省税务局 关于进一步做好职工基本医疗保险个人账户支付参加基本医疗保险费用有关工作的通知》及《</w:t>
      </w:r>
      <w:r>
        <w:rPr>
          <w:rFonts w:hint="default" w:ascii="Times New Roman" w:hAnsi="Times New Roman" w:eastAsia="仿宋_GB2312" w:cs="Times New Roman"/>
          <w:b w:val="0"/>
          <w:bCs/>
          <w:kern w:val="0"/>
          <w:sz w:val="32"/>
          <w:szCs w:val="32"/>
          <w:lang w:val="en-US" w:eastAsia="zh-CN" w:bidi="ar-SA"/>
        </w:rPr>
        <w:t>广东省医疗保障局关于进一步做好职工基本医疗保险个人账户家庭共济异地就医购药有关工作的通知</w:t>
      </w:r>
      <w:r>
        <w:rPr>
          <w:rFonts w:hint="eastAsia" w:ascii="Times New Roman" w:hAnsi="Times New Roman" w:eastAsia="仿宋_GB2312" w:cs="Times New Roman"/>
          <w:b w:val="0"/>
          <w:bCs/>
          <w:kern w:val="0"/>
          <w:sz w:val="32"/>
          <w:szCs w:val="32"/>
          <w:lang w:val="en-US" w:eastAsia="zh-CN" w:bidi="ar-SA"/>
        </w:rPr>
        <w:t>》，为落实职工基本医疗保险个人账户家庭共济异地使用工作，请定点医药机构做好与国家医保信息平台的系统对接工作,接入改造指引如下：</w:t>
      </w:r>
    </w:p>
    <w:p w14:paraId="217EF5C1">
      <w:pPr>
        <w:pStyle w:val="4"/>
      </w:pPr>
      <w:r>
        <w:rPr>
          <w:rFonts w:hint="eastAsia"/>
        </w:rPr>
        <w:t>业务场景</w:t>
      </w:r>
    </w:p>
    <w:p w14:paraId="129C57B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我省职工医保参保人可使用个人账户为其配偶、父母、子女（以下简称“家庭成员”）异地支付符合医保规定的就医购药费用。个人账户异地共济就医购药采用记账模式，执行家庭成员参保地职工医保个人账户基金支付范围。</w:t>
      </w:r>
    </w:p>
    <w:p w14:paraId="668BAB2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1）参保人和家庭成员在省内不同统筹地区参保、家庭成员在其参保地就医购药的，其个账家庭共济部分随基本医疗保险基金由家庭成员参保地医保经办机构在月度结算时一同拨付给定点医药机构，再由家庭成员参保地医保经办机构每月向省医保中心申报，省医保中心每月向各地市医保经办机构拨付。</w:t>
      </w:r>
    </w:p>
    <w:p w14:paraId="59609D9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（2）参保人和家庭成员在省内不同统筹地区参保、家庭成员在省内异地就医购药的，由省医保中心按照省内异地就医规定与定点医药机构结算。</w:t>
      </w:r>
    </w:p>
    <w:p w14:paraId="11D4BEA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（3）参保人和家庭成员在同一统筹地区参保、家庭成员在省内异地就医购药的，可按照现有规定结算。</w:t>
      </w:r>
    </w:p>
    <w:p w14:paraId="2917AE70">
      <w:pPr>
        <w:pStyle w:val="5"/>
      </w:pPr>
      <w:r>
        <w:rPr>
          <w:rFonts w:hint="eastAsia"/>
          <w:lang w:val="en-US" w:eastAsia="zh-CN"/>
        </w:rPr>
        <w:t>个人账户家庭共济异地就医购药流程</w:t>
      </w:r>
    </w:p>
    <w:p w14:paraId="2CC4F320">
      <w:pPr>
        <w:ind w:firstLine="0" w:firstLineChars="0"/>
      </w:pPr>
      <w:r>
        <w:object>
          <v:shape id="_x0000_i1025" o:spt="75" type="#_x0000_t75" style="height:394.05pt;width:481.55pt;" o:ole="t" fillcolor="#FFFFFF" filled="f" o:preferrelative="t" stroked="f" coordsize="21600,21600">
            <v:path/>
            <v:fill on="f" color2="#FFFFFF" focussize="0,0"/>
            <v:stroke on="f" color="#000000" color2="#FFFFFF"/>
            <v:imagedata r:id="rId13" grayscale="f" bilevel="f" o:title=""/>
            <o:lock v:ext="edit" aspectratio="f"/>
            <w10:wrap type="none"/>
            <w10:anchorlock/>
          </v:shape>
          <o:OLEObject Type="Embed" ProgID="Visio.DrawingConvertable.15" ShapeID="_x0000_i1025" DrawAspect="Content" ObjectID="_1468075725" r:id="rId12">
            <o:LockedField>false</o:LockedField>
          </o:OLEObject>
        </w:object>
      </w:r>
    </w:p>
    <w:p w14:paraId="754449CD">
      <w:pPr>
        <w:pStyle w:val="5"/>
      </w:pPr>
      <w:r>
        <w:rPr>
          <w:rFonts w:hint="eastAsia"/>
          <w:lang w:val="en-US" w:eastAsia="zh-CN"/>
        </w:rPr>
        <w:t>个人账户家庭共济异地就医购药退费</w:t>
      </w:r>
      <w:r>
        <w:rPr>
          <w:rFonts w:hint="eastAsia"/>
        </w:rPr>
        <w:t>流程</w:t>
      </w:r>
    </w:p>
    <w:p w14:paraId="231E33B2">
      <w:pPr>
        <w:ind w:firstLine="0" w:firstLineChars="0"/>
      </w:pPr>
      <w:r>
        <w:object>
          <v:shape id="_x0000_i1026" o:spt="75" type="#_x0000_t75" style="height:266.8pt;width:444.15pt;" o:ole="t" filled="f" o:preferrelative="t" stroked="f" coordsize="21600,21600">
            <v:path/>
            <v:fill on="f" focussize="0,0"/>
            <v:stroke on="f"/>
            <v:imagedata r:id="rId15" o:title=""/>
            <o:lock v:ext="edit" aspectratio="f"/>
            <w10:wrap type="none"/>
            <w10:anchorlock/>
          </v:shape>
          <o:OLEObject Type="Embed" ProgID="Visio.DrawingConvertable.15" ShapeID="_x0000_i1026" DrawAspect="Content" ObjectID="_1468075726" r:id="rId14">
            <o:LockedField>false</o:LockedField>
          </o:OLEObject>
        </w:object>
      </w:r>
    </w:p>
    <w:p w14:paraId="46D9DBA2">
      <w:pPr>
        <w:pStyle w:val="3"/>
        <w:ind w:firstLine="480"/>
      </w:pPr>
    </w:p>
    <w:p w14:paraId="26BA4F24">
      <w:pPr>
        <w:pStyle w:val="4"/>
      </w:pPr>
      <w:r>
        <w:rPr>
          <w:rFonts w:hint="eastAsia"/>
        </w:rPr>
        <w:t>国家医保信息平台的定点医药机构</w:t>
      </w:r>
    </w:p>
    <w:p w14:paraId="79453DF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请国家医保信息平台的定点医药机构，按照《医疗保障信息平台定点医药机构接口规范（基线版V1.8.9）》（以下简称两定接口）的要求，做好个人账户家庭共济改造开发、联调等工作。</w:t>
      </w:r>
    </w:p>
    <w:p w14:paraId="42AA1483">
      <w:pPr>
        <w:pStyle w:val="5"/>
        <w:rPr>
          <w:rFonts w:ascii="宋体" w:hAnsi="宋体" w:eastAsia="宋体" w:cs="宋体"/>
          <w:b/>
          <w:bCs/>
          <w:sz w:val="28"/>
          <w:szCs w:val="28"/>
        </w:rPr>
      </w:pPr>
      <w:r>
        <w:rPr>
          <w:rFonts w:hint="eastAsia"/>
        </w:rPr>
        <w:t>本次调整内容</w:t>
      </w:r>
      <w:r>
        <w:rPr>
          <w:rFonts w:hint="eastAsia" w:ascii="宋体" w:hAnsi="宋体" w:eastAsia="宋体" w:cs="宋体"/>
          <w:b/>
          <w:bCs/>
          <w:sz w:val="28"/>
          <w:szCs w:val="28"/>
        </w:rPr>
        <w:t xml:space="preserve"> </w:t>
      </w:r>
    </w:p>
    <w:p w14:paraId="53CC7A70">
      <w:pPr>
        <w:pStyle w:val="6"/>
      </w:pPr>
      <w:r>
        <w:rPr>
          <w:rFonts w:hint="eastAsia"/>
        </w:rPr>
        <w:t>预结算结算接口调整</w:t>
      </w:r>
    </w:p>
    <w:tbl>
      <w:tblPr>
        <w:tblStyle w:val="17"/>
        <w:tblW w:w="4998" w:type="pct"/>
        <w:tblInd w:w="0" w:type="dxa"/>
        <w:tblLayout w:type="autofit"/>
        <w:tblCellMar>
          <w:top w:w="0" w:type="dxa"/>
          <w:left w:w="108" w:type="dxa"/>
          <w:bottom w:w="0" w:type="dxa"/>
          <w:right w:w="108" w:type="dxa"/>
        </w:tblCellMar>
      </w:tblPr>
      <w:tblGrid>
        <w:gridCol w:w="1611"/>
        <w:gridCol w:w="1942"/>
        <w:gridCol w:w="5674"/>
      </w:tblGrid>
      <w:tr w14:paraId="2109956B">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5D36C">
            <w:pPr>
              <w:pStyle w:val="32"/>
              <w:rPr>
                <w:rFonts w:hint="default"/>
              </w:rPr>
            </w:pPr>
            <w:r>
              <w:t>接口编号</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398D">
            <w:pPr>
              <w:pStyle w:val="32"/>
              <w:rPr>
                <w:rFonts w:hint="default"/>
              </w:rPr>
            </w:pPr>
            <w:r>
              <w:t>接口名称</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F103B">
            <w:pPr>
              <w:pStyle w:val="32"/>
              <w:rPr>
                <w:rFonts w:hint="default"/>
              </w:rPr>
            </w:pPr>
            <w:r>
              <w:t>描述</w:t>
            </w:r>
          </w:p>
        </w:tc>
      </w:tr>
      <w:tr w14:paraId="00479A3B">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669CF">
            <w:pPr>
              <w:pStyle w:val="33"/>
              <w:rPr>
                <w:rFonts w:hint="default"/>
              </w:rPr>
            </w:pPr>
            <w:r>
              <w:t>2101</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901A">
            <w:pPr>
              <w:pStyle w:val="33"/>
              <w:rPr>
                <w:rFonts w:hint="default"/>
              </w:rPr>
            </w:pPr>
            <w:r>
              <w:t>药店预结算</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07DD5">
            <w:pPr>
              <w:pStyle w:val="33"/>
              <w:rPr>
                <w:rFonts w:hint="default"/>
              </w:rPr>
            </w:pPr>
            <w:r>
              <w:t>通过此交易进行药店购药，药店门诊慢特病购药的预结算。</w:t>
            </w:r>
          </w:p>
        </w:tc>
      </w:tr>
      <w:tr w14:paraId="44F5CBE5">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4C613">
            <w:pPr>
              <w:pStyle w:val="33"/>
              <w:rPr>
                <w:rFonts w:hint="default"/>
              </w:rPr>
            </w:pPr>
            <w:r>
              <w:t>2101A</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77680">
            <w:pPr>
              <w:pStyle w:val="33"/>
              <w:rPr>
                <w:rFonts w:hint="default"/>
              </w:rPr>
            </w:pPr>
            <w:r>
              <w:t>药店预结算A</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A6ED8">
            <w:pPr>
              <w:pStyle w:val="33"/>
              <w:rPr>
                <w:rFonts w:hint="default"/>
              </w:rPr>
            </w:pPr>
            <w:r>
              <w:t>通过此交易进行药店购药，药店门诊慢特病购药的预结算。</w:t>
            </w:r>
          </w:p>
        </w:tc>
      </w:tr>
      <w:tr w14:paraId="099F68B5">
        <w:tblPrEx>
          <w:tblCellMar>
            <w:top w:w="0" w:type="dxa"/>
            <w:left w:w="108" w:type="dxa"/>
            <w:bottom w:w="0" w:type="dxa"/>
            <w:right w:w="108" w:type="dxa"/>
          </w:tblCellMar>
        </w:tblPrEx>
        <w:trPr>
          <w:trHeight w:val="432"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9CF90">
            <w:pPr>
              <w:pStyle w:val="33"/>
              <w:rPr>
                <w:rFonts w:hint="default"/>
              </w:rPr>
            </w:pPr>
            <w:r>
              <w:t>2102</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0A502">
            <w:pPr>
              <w:pStyle w:val="33"/>
              <w:rPr>
                <w:rFonts w:hint="default"/>
              </w:rPr>
            </w:pPr>
            <w:r>
              <w:t>药店结算</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15958">
            <w:pPr>
              <w:pStyle w:val="33"/>
              <w:rPr>
                <w:rFonts w:hint="default"/>
              </w:rPr>
            </w:pPr>
            <w:r>
              <w:t>通过此交易进行药店购药，药店门诊慢特病购药的结算（含费用明细上传）。</w:t>
            </w:r>
          </w:p>
        </w:tc>
      </w:tr>
      <w:tr w14:paraId="4A7447F9">
        <w:tblPrEx>
          <w:tblCellMar>
            <w:top w:w="0" w:type="dxa"/>
            <w:left w:w="108" w:type="dxa"/>
            <w:bottom w:w="0" w:type="dxa"/>
            <w:right w:w="108" w:type="dxa"/>
          </w:tblCellMar>
        </w:tblPrEx>
        <w:trPr>
          <w:trHeight w:val="432"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20E53">
            <w:pPr>
              <w:pStyle w:val="33"/>
              <w:rPr>
                <w:rFonts w:hint="default"/>
              </w:rPr>
            </w:pPr>
            <w:r>
              <w:t>2102A</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7710">
            <w:pPr>
              <w:pStyle w:val="33"/>
              <w:rPr>
                <w:rFonts w:hint="default"/>
              </w:rPr>
            </w:pPr>
            <w:r>
              <w:t>药店结算A</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B559F">
            <w:pPr>
              <w:pStyle w:val="33"/>
              <w:rPr>
                <w:rFonts w:hint="default"/>
              </w:rPr>
            </w:pPr>
            <w:r>
              <w:t>通过此交易进行药店购药，药店门诊慢特病购药的结算（含费用明细上传）。</w:t>
            </w:r>
          </w:p>
        </w:tc>
      </w:tr>
      <w:tr w14:paraId="63DF2DEC">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72DCF">
            <w:pPr>
              <w:pStyle w:val="33"/>
              <w:rPr>
                <w:rFonts w:hint="default"/>
              </w:rPr>
            </w:pPr>
            <w:r>
              <w:t>2206</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5BEB1">
            <w:pPr>
              <w:pStyle w:val="33"/>
              <w:rPr>
                <w:rFonts w:hint="default"/>
              </w:rPr>
            </w:pPr>
            <w:r>
              <w:t>门诊预结算</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C73FC">
            <w:pPr>
              <w:pStyle w:val="33"/>
              <w:rPr>
                <w:rFonts w:hint="default"/>
              </w:rPr>
            </w:pPr>
            <w:r>
              <w:t>通过此交易进行门诊结算的预结算。</w:t>
            </w:r>
          </w:p>
        </w:tc>
      </w:tr>
      <w:tr w14:paraId="380A354B">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62E4">
            <w:pPr>
              <w:pStyle w:val="33"/>
              <w:rPr>
                <w:rFonts w:hint="default"/>
              </w:rPr>
            </w:pPr>
            <w:r>
              <w:t>2206A</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DE439">
            <w:pPr>
              <w:pStyle w:val="33"/>
              <w:rPr>
                <w:rFonts w:hint="default"/>
              </w:rPr>
            </w:pPr>
            <w:r>
              <w:t>门诊预结算A</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C6ACC">
            <w:pPr>
              <w:pStyle w:val="33"/>
              <w:rPr>
                <w:rFonts w:hint="default"/>
              </w:rPr>
            </w:pPr>
            <w:r>
              <w:t>通过此交易进行门诊结算的预结算。</w:t>
            </w:r>
          </w:p>
        </w:tc>
      </w:tr>
      <w:tr w14:paraId="3300FBF0">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4504">
            <w:pPr>
              <w:pStyle w:val="33"/>
              <w:rPr>
                <w:rFonts w:hint="default"/>
              </w:rPr>
            </w:pPr>
            <w:r>
              <w:t>2207</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4565C">
            <w:pPr>
              <w:pStyle w:val="33"/>
              <w:rPr>
                <w:rFonts w:hint="default"/>
              </w:rPr>
            </w:pPr>
            <w:r>
              <w:t>门诊结算</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5906B">
            <w:pPr>
              <w:pStyle w:val="33"/>
              <w:rPr>
                <w:rFonts w:hint="default"/>
              </w:rPr>
            </w:pPr>
            <w:r>
              <w:t>通过此交易进行门诊结算的正式结算。</w:t>
            </w:r>
          </w:p>
        </w:tc>
      </w:tr>
      <w:tr w14:paraId="49DEF9E4">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7676C">
            <w:pPr>
              <w:pStyle w:val="33"/>
              <w:rPr>
                <w:rFonts w:hint="default"/>
              </w:rPr>
            </w:pPr>
            <w:r>
              <w:t>2207A</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4559E">
            <w:pPr>
              <w:pStyle w:val="33"/>
              <w:rPr>
                <w:rFonts w:hint="default"/>
              </w:rPr>
            </w:pPr>
            <w:r>
              <w:t>门诊结算A</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C3448">
            <w:pPr>
              <w:pStyle w:val="33"/>
              <w:rPr>
                <w:rFonts w:hint="default"/>
              </w:rPr>
            </w:pPr>
            <w:r>
              <w:t>通过此交易进行门诊结算的正式结算。</w:t>
            </w:r>
          </w:p>
        </w:tc>
      </w:tr>
      <w:tr w14:paraId="7A7E0CEB">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F53B8">
            <w:pPr>
              <w:pStyle w:val="33"/>
              <w:rPr>
                <w:rFonts w:hint="default"/>
              </w:rPr>
            </w:pPr>
            <w:r>
              <w:t>2303</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C6DB6">
            <w:pPr>
              <w:pStyle w:val="33"/>
              <w:rPr>
                <w:rFonts w:hint="default"/>
              </w:rPr>
            </w:pPr>
            <w:r>
              <w:t>住院预结算</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16969">
            <w:pPr>
              <w:pStyle w:val="33"/>
              <w:rPr>
                <w:rFonts w:hint="default"/>
              </w:rPr>
            </w:pPr>
            <w:r>
              <w:t>通过此交易进行住院结算的预结算。</w:t>
            </w:r>
          </w:p>
        </w:tc>
      </w:tr>
      <w:tr w14:paraId="37A50784">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E5BBA">
            <w:pPr>
              <w:pStyle w:val="33"/>
              <w:rPr>
                <w:rFonts w:hint="default"/>
              </w:rPr>
            </w:pPr>
            <w:r>
              <w:t>2303A</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3EB9E">
            <w:pPr>
              <w:pStyle w:val="33"/>
              <w:rPr>
                <w:rFonts w:hint="default"/>
              </w:rPr>
            </w:pPr>
            <w:r>
              <w:t>住院预结算A</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1F70B">
            <w:pPr>
              <w:pStyle w:val="33"/>
              <w:rPr>
                <w:rFonts w:hint="default"/>
              </w:rPr>
            </w:pPr>
            <w:r>
              <w:t>通过此交易进行住院结算的预结算。</w:t>
            </w:r>
          </w:p>
        </w:tc>
      </w:tr>
      <w:tr w14:paraId="462798F4">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D2146">
            <w:pPr>
              <w:pStyle w:val="33"/>
              <w:rPr>
                <w:rFonts w:hint="default"/>
              </w:rPr>
            </w:pPr>
            <w:r>
              <w:t>2304</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19F0D">
            <w:pPr>
              <w:pStyle w:val="33"/>
              <w:rPr>
                <w:rFonts w:hint="default"/>
              </w:rPr>
            </w:pPr>
            <w:r>
              <w:t>住院结算</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39890">
            <w:pPr>
              <w:pStyle w:val="33"/>
              <w:rPr>
                <w:rFonts w:hint="default"/>
              </w:rPr>
            </w:pPr>
            <w:r>
              <w:t>通过此交易进行住院结算的正式结算。</w:t>
            </w:r>
          </w:p>
        </w:tc>
      </w:tr>
      <w:tr w14:paraId="1F374AD6">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E1657">
            <w:pPr>
              <w:pStyle w:val="33"/>
              <w:rPr>
                <w:rFonts w:hint="default"/>
              </w:rPr>
            </w:pPr>
            <w:r>
              <w:t>2304A</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40662">
            <w:pPr>
              <w:pStyle w:val="33"/>
              <w:rPr>
                <w:rFonts w:hint="default"/>
              </w:rPr>
            </w:pPr>
            <w:r>
              <w:t>住院结算A</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9BB08">
            <w:pPr>
              <w:pStyle w:val="33"/>
              <w:rPr>
                <w:rFonts w:hint="default"/>
              </w:rPr>
            </w:pPr>
            <w:r>
              <w:t>通过此交易进行住院的正式结算。</w:t>
            </w:r>
          </w:p>
        </w:tc>
      </w:tr>
      <w:tr w14:paraId="6FFA1081">
        <w:tblPrEx>
          <w:tblCellMar>
            <w:top w:w="0" w:type="dxa"/>
            <w:left w:w="108" w:type="dxa"/>
            <w:bottom w:w="0" w:type="dxa"/>
            <w:right w:w="108" w:type="dxa"/>
          </w:tblCellMar>
        </w:tblPrEx>
        <w:trPr>
          <w:trHeight w:val="288" w:hRule="atLeast"/>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ADEC">
            <w:pPr>
              <w:pStyle w:val="33"/>
              <w:rPr>
                <w:rFonts w:hint="default"/>
              </w:rPr>
            </w:pPr>
            <w:r>
              <w:t>2704</w:t>
            </w:r>
          </w:p>
        </w:tc>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BDB1C">
            <w:pPr>
              <w:pStyle w:val="33"/>
              <w:rPr>
                <w:rFonts w:hint="default"/>
              </w:rPr>
            </w:pPr>
            <w:r>
              <w:t>申报明细查询</w:t>
            </w:r>
          </w:p>
        </w:tc>
        <w:tc>
          <w:tcPr>
            <w:tcW w:w="30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B4610">
            <w:pPr>
              <w:pStyle w:val="33"/>
              <w:rPr>
                <w:rFonts w:hint="default"/>
              </w:rPr>
            </w:pPr>
            <w:r>
              <w:t>通过此交易已提交申报的医药机构月结算申请明细信息</w:t>
            </w:r>
          </w:p>
        </w:tc>
      </w:tr>
    </w:tbl>
    <w:p w14:paraId="390019D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只有参保地、就医地和个人账户开户地是否都支持个人账户记账模式，参保人在就医时才可以使用个人账户记账模式。</w:t>
      </w:r>
    </w:p>
    <w:p w14:paraId="58EBEA4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当医药接口通过以上接口传送“个人账户使用标志”为“1”时则判断为使用个账支付，通过接口获取消费的个人账户信息及其余额。</w:t>
      </w:r>
    </w:p>
    <w:p w14:paraId="7746B24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当余额不足以支付个人账户基金支付范围金额时，余额剩余部分全部进入个账记账模式进行个账支付，不足部分现金支付；若余额足以支付</w:t>
      </w:r>
      <w:r>
        <w:rPr>
          <w:rFonts w:hint="default" w:ascii="Times New Roman" w:hAnsi="Times New Roman" w:eastAsia="仿宋_GB2312" w:cs="Times New Roman"/>
          <w:b w:val="0"/>
          <w:bCs/>
          <w:kern w:val="0"/>
          <w:sz w:val="32"/>
          <w:szCs w:val="32"/>
          <w:lang w:val="en-US" w:eastAsia="zh-CN" w:bidi="ar-SA"/>
        </w:rPr>
        <w:t>个人账户基金支付范围</w:t>
      </w:r>
      <w:r>
        <w:rPr>
          <w:rFonts w:hint="eastAsia" w:ascii="Times New Roman" w:hAnsi="Times New Roman" w:eastAsia="仿宋_GB2312" w:cs="Times New Roman"/>
          <w:b w:val="0"/>
          <w:bCs/>
          <w:kern w:val="0"/>
          <w:sz w:val="32"/>
          <w:szCs w:val="32"/>
          <w:lang w:val="en-US" w:eastAsia="zh-CN" w:bidi="ar-SA"/>
        </w:rPr>
        <w:t>金额时，走个人账户记账模式。</w:t>
      </w:r>
    </w:p>
    <w:p w14:paraId="752DFD0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若结算时使用了本人的个人账户金额，相关金额记录在上述预结算、结算接口出参中的“个人账户支出acct_pay”中，同时向个人账户所在银行发送消费指令并在医保系统中记录个人账户消费信息；若结算时使用的是个人账户共济金额，相关金额同时记录在“个人账户支出acct_pay”和“个人账户共济支付金额acct_mulaid_pay”中，同时向个账共济所在银行发送消费指令并在医保系统中记录个人账户消费信息。</w:t>
      </w:r>
    </w:p>
    <w:p w14:paraId="5174CD9A">
      <w:pPr>
        <w:pStyle w:val="2"/>
        <w:spacing w:after="0"/>
        <w:ind w:firstLine="0" w:firstLineChars="0"/>
        <w:jc w:val="center"/>
        <w:rPr>
          <w:rFonts w:ascii="宋体" w:hAnsi="宋体" w:cs="宋体"/>
          <w:b/>
          <w:bCs/>
        </w:rPr>
      </w:pPr>
      <w:r>
        <w:rPr>
          <w:rFonts w:hint="eastAsia" w:ascii="宋体" w:hAnsi="宋体" w:cs="宋体"/>
          <w:b/>
          <w:bCs/>
        </w:rPr>
        <w:t>表1：参数说明</w:t>
      </w:r>
    </w:p>
    <w:tbl>
      <w:tblPr>
        <w:tblStyle w:val="1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303"/>
        <w:gridCol w:w="4624"/>
      </w:tblGrid>
      <w:tr w14:paraId="18A5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247" w:type="pct"/>
            <w:vAlign w:val="center"/>
          </w:tcPr>
          <w:p w14:paraId="0FCA5878">
            <w:pPr>
              <w:pStyle w:val="2"/>
              <w:ind w:firstLine="0" w:firstLineChars="0"/>
              <w:jc w:val="center"/>
              <w:rPr>
                <w:rFonts w:ascii="宋体" w:hAnsi="宋体" w:cs="宋体"/>
                <w:b/>
                <w:bCs/>
                <w:sz w:val="21"/>
                <w:szCs w:val="21"/>
              </w:rPr>
            </w:pPr>
            <w:r>
              <w:rPr>
                <w:rFonts w:hint="eastAsia" w:ascii="宋体" w:hAnsi="宋体" w:cs="宋体"/>
                <w:b/>
                <w:bCs/>
                <w:sz w:val="21"/>
                <w:szCs w:val="21"/>
              </w:rPr>
              <w:t>参数代码</w:t>
            </w:r>
          </w:p>
        </w:tc>
        <w:tc>
          <w:tcPr>
            <w:tcW w:w="1247" w:type="pct"/>
            <w:vAlign w:val="center"/>
          </w:tcPr>
          <w:p w14:paraId="5F9DFC95">
            <w:pPr>
              <w:pStyle w:val="2"/>
              <w:ind w:firstLine="0" w:firstLineChars="0"/>
              <w:jc w:val="center"/>
              <w:rPr>
                <w:rFonts w:ascii="宋体" w:hAnsi="宋体" w:cs="宋体"/>
                <w:b/>
                <w:bCs/>
                <w:sz w:val="21"/>
                <w:szCs w:val="21"/>
              </w:rPr>
            </w:pPr>
            <w:r>
              <w:rPr>
                <w:rFonts w:hint="eastAsia" w:ascii="宋体" w:hAnsi="宋体" w:cs="宋体"/>
                <w:b/>
                <w:bCs/>
                <w:sz w:val="21"/>
                <w:szCs w:val="21"/>
              </w:rPr>
              <w:t>参数</w:t>
            </w:r>
          </w:p>
        </w:tc>
        <w:tc>
          <w:tcPr>
            <w:tcW w:w="2504" w:type="pct"/>
            <w:vAlign w:val="center"/>
          </w:tcPr>
          <w:p w14:paraId="2E1525C7">
            <w:pPr>
              <w:pStyle w:val="2"/>
              <w:ind w:firstLine="0" w:firstLineChars="0"/>
              <w:jc w:val="center"/>
              <w:rPr>
                <w:rFonts w:ascii="宋体" w:hAnsi="宋体" w:cs="宋体"/>
                <w:b/>
                <w:bCs/>
                <w:sz w:val="21"/>
                <w:szCs w:val="21"/>
              </w:rPr>
            </w:pPr>
            <w:r>
              <w:rPr>
                <w:rFonts w:hint="eastAsia" w:ascii="宋体" w:hAnsi="宋体" w:cs="宋体"/>
                <w:b/>
                <w:bCs/>
                <w:sz w:val="21"/>
                <w:szCs w:val="21"/>
              </w:rPr>
              <w:t>说明</w:t>
            </w:r>
          </w:p>
        </w:tc>
      </w:tr>
      <w:tr w14:paraId="058F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tcPr>
          <w:p w14:paraId="34EEA001">
            <w:pPr>
              <w:pStyle w:val="2"/>
              <w:ind w:firstLine="0" w:firstLineChars="0"/>
              <w:rPr>
                <w:rFonts w:ascii="宋体" w:hAnsi="宋体" w:cs="宋体"/>
                <w:sz w:val="21"/>
                <w:szCs w:val="21"/>
              </w:rPr>
            </w:pPr>
            <w:r>
              <w:rPr>
                <w:rFonts w:hint="eastAsia" w:ascii="宋体" w:hAnsi="宋体" w:cs="宋体"/>
                <w:sz w:val="21"/>
                <w:szCs w:val="21"/>
              </w:rPr>
              <w:t>acct_used_flag</w:t>
            </w:r>
          </w:p>
        </w:tc>
        <w:tc>
          <w:tcPr>
            <w:tcW w:w="1247" w:type="pct"/>
          </w:tcPr>
          <w:p w14:paraId="44F8D387">
            <w:pPr>
              <w:pStyle w:val="2"/>
              <w:ind w:firstLine="0" w:firstLineChars="0"/>
              <w:rPr>
                <w:rFonts w:ascii="宋体" w:hAnsi="宋体" w:cs="宋体"/>
                <w:sz w:val="21"/>
                <w:szCs w:val="21"/>
              </w:rPr>
            </w:pPr>
            <w:r>
              <w:rPr>
                <w:rFonts w:hint="eastAsia" w:ascii="宋体" w:hAnsi="宋体" w:cs="宋体"/>
                <w:sz w:val="21"/>
                <w:szCs w:val="21"/>
              </w:rPr>
              <w:t>个人账户使用标志</w:t>
            </w:r>
          </w:p>
        </w:tc>
        <w:tc>
          <w:tcPr>
            <w:tcW w:w="2504" w:type="pct"/>
            <w:vAlign w:val="center"/>
          </w:tcPr>
          <w:p w14:paraId="42E1B265">
            <w:pPr>
              <w:spacing w:line="240" w:lineRule="auto"/>
              <w:ind w:firstLine="0" w:firstLineChars="0"/>
              <w:jc w:val="left"/>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个人账户使用标志为“1”表示参保人选择使用医保个账;</w:t>
            </w:r>
          </w:p>
          <w:p w14:paraId="6DBD4B37">
            <w:pPr>
              <w:spacing w:line="240" w:lineRule="auto"/>
              <w:ind w:firstLine="0" w:firstLineChars="0"/>
              <w:jc w:val="left"/>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个人账户使用标志为“0”，表示参保人选择不使用医保个账;</w:t>
            </w:r>
          </w:p>
          <w:p w14:paraId="3F4C17C2">
            <w:pPr>
              <w:spacing w:line="240" w:lineRule="auto"/>
              <w:ind w:firstLine="0" w:firstLineChars="0"/>
              <w:jc w:val="left"/>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为空时系统默认为“</w:t>
            </w:r>
            <w:r>
              <w:rPr>
                <w:rFonts w:hint="eastAsia" w:ascii="宋体" w:hAnsi="宋体" w:cs="宋体"/>
                <w:color w:val="000000" w:themeColor="text1"/>
                <w:sz w:val="21"/>
                <w:szCs w:val="21"/>
                <w:lang w:val="en-US" w:eastAsia="zh-CN"/>
                <w14:textFill>
                  <w14:solidFill>
                    <w14:schemeClr w14:val="tx1"/>
                  </w14:solidFill>
                </w14:textFill>
              </w:rPr>
              <w:t>0</w:t>
            </w:r>
            <w:r>
              <w:rPr>
                <w:rFonts w:hint="eastAsia" w:ascii="宋体" w:hAnsi="宋体" w:cs="宋体"/>
                <w:color w:val="000000" w:themeColor="text1"/>
                <w:sz w:val="21"/>
                <w:szCs w:val="21"/>
                <w14:textFill>
                  <w14:solidFill>
                    <w14:schemeClr w14:val="tx1"/>
                  </w14:solidFill>
                </w14:textFill>
              </w:rPr>
              <w:t>”</w:t>
            </w:r>
          </w:p>
        </w:tc>
      </w:tr>
      <w:tr w14:paraId="042C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tcPr>
          <w:p w14:paraId="7410A49B">
            <w:pPr>
              <w:pStyle w:val="2"/>
              <w:ind w:firstLine="0" w:firstLineChars="0"/>
              <w:rPr>
                <w:rFonts w:ascii="宋体" w:hAnsi="宋体" w:cs="宋体"/>
                <w:sz w:val="21"/>
                <w:szCs w:val="21"/>
              </w:rPr>
            </w:pPr>
            <w:r>
              <w:rPr>
                <w:rFonts w:hint="eastAsia" w:ascii="宋体" w:hAnsi="宋体" w:cs="宋体"/>
                <w:color w:val="000000" w:themeColor="text1"/>
                <w:sz w:val="21"/>
                <w:szCs w:val="21"/>
                <w14:textFill>
                  <w14:solidFill>
                    <w14:schemeClr w14:val="tx1"/>
                  </w14:solidFill>
                </w14:textFill>
              </w:rPr>
              <w:t>acct_pay</w:t>
            </w:r>
          </w:p>
        </w:tc>
        <w:tc>
          <w:tcPr>
            <w:tcW w:w="1247" w:type="pct"/>
          </w:tcPr>
          <w:p w14:paraId="3A6FE687">
            <w:pPr>
              <w:pStyle w:val="2"/>
              <w:ind w:firstLine="0" w:firstLineChars="0"/>
              <w:rPr>
                <w:rFonts w:ascii="宋体" w:hAnsi="宋体" w:cs="宋体"/>
                <w:sz w:val="21"/>
                <w:szCs w:val="21"/>
              </w:rPr>
            </w:pPr>
            <w:r>
              <w:rPr>
                <w:rFonts w:hint="eastAsia" w:ascii="宋体" w:hAnsi="宋体" w:cs="宋体"/>
                <w:color w:val="000000" w:themeColor="text1"/>
                <w:sz w:val="21"/>
                <w:szCs w:val="21"/>
                <w14:textFill>
                  <w14:solidFill>
                    <w14:schemeClr w14:val="tx1"/>
                  </w14:solidFill>
                </w14:textFill>
              </w:rPr>
              <w:t>个人账户支出</w:t>
            </w:r>
          </w:p>
        </w:tc>
        <w:tc>
          <w:tcPr>
            <w:tcW w:w="2504" w:type="pct"/>
          </w:tcPr>
          <w:p w14:paraId="65794918">
            <w:pPr>
              <w:pStyle w:val="2"/>
              <w:ind w:firstLine="0" w:firstLineChars="0"/>
              <w:rPr>
                <w:rFonts w:ascii="宋体" w:hAnsi="宋体" w:cs="宋体"/>
                <w:sz w:val="21"/>
                <w:szCs w:val="21"/>
              </w:rPr>
            </w:pPr>
            <w:r>
              <w:rPr>
                <w:rFonts w:hint="eastAsia" w:ascii="宋体" w:hAnsi="宋体" w:cs="宋体"/>
                <w:sz w:val="21"/>
                <w:szCs w:val="21"/>
              </w:rPr>
              <w:t>个人账户支出中包含个人账户共济支付金额（</w:t>
            </w:r>
            <w:r>
              <w:rPr>
                <w:rFonts w:hint="eastAsia" w:ascii="宋体" w:hAnsi="宋体" w:cs="宋体"/>
                <w:color w:val="000000" w:themeColor="text1"/>
                <w:sz w:val="21"/>
                <w:szCs w:val="21"/>
                <w14:textFill>
                  <w14:solidFill>
                    <w14:schemeClr w14:val="tx1"/>
                  </w14:solidFill>
                </w14:textFill>
              </w:rPr>
              <w:t>acct_mulaid_pay）</w:t>
            </w:r>
          </w:p>
        </w:tc>
      </w:tr>
      <w:tr w14:paraId="58FE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tcPr>
          <w:p w14:paraId="51D35901">
            <w:pPr>
              <w:pStyle w:val="2"/>
              <w:ind w:firstLine="0" w:firstLineChars="0"/>
              <w:rPr>
                <w:rFonts w:ascii="宋体" w:hAnsi="宋体" w:cs="宋体"/>
                <w:sz w:val="21"/>
                <w:szCs w:val="21"/>
              </w:rPr>
            </w:pPr>
            <w:r>
              <w:rPr>
                <w:rFonts w:hint="eastAsia" w:ascii="宋体" w:hAnsi="宋体" w:cs="宋体"/>
                <w:color w:val="000000" w:themeColor="text1"/>
                <w:sz w:val="21"/>
                <w:szCs w:val="21"/>
                <w14:textFill>
                  <w14:solidFill>
                    <w14:schemeClr w14:val="tx1"/>
                  </w14:solidFill>
                </w14:textFill>
              </w:rPr>
              <w:t>acct_mulaid_pay</w:t>
            </w:r>
          </w:p>
        </w:tc>
        <w:tc>
          <w:tcPr>
            <w:tcW w:w="1247" w:type="pct"/>
          </w:tcPr>
          <w:p w14:paraId="746FE74E">
            <w:pPr>
              <w:pStyle w:val="2"/>
              <w:ind w:firstLine="0" w:firstLineChars="0"/>
              <w:rPr>
                <w:rFonts w:ascii="宋体" w:hAnsi="宋体" w:cs="宋体"/>
                <w:sz w:val="21"/>
                <w:szCs w:val="21"/>
              </w:rPr>
            </w:pPr>
            <w:r>
              <w:rPr>
                <w:rFonts w:hint="eastAsia" w:ascii="宋体" w:hAnsi="宋体" w:cs="宋体"/>
                <w:color w:val="000000" w:themeColor="text1"/>
                <w:sz w:val="21"/>
                <w:szCs w:val="21"/>
                <w14:textFill>
                  <w14:solidFill>
                    <w14:schemeClr w14:val="tx1"/>
                  </w14:solidFill>
                </w14:textFill>
              </w:rPr>
              <w:t>个人账户共济支付金额</w:t>
            </w:r>
          </w:p>
        </w:tc>
        <w:tc>
          <w:tcPr>
            <w:tcW w:w="2504" w:type="pct"/>
          </w:tcPr>
          <w:p w14:paraId="7BC3D80A">
            <w:pPr>
              <w:pStyle w:val="2"/>
              <w:ind w:firstLine="0" w:firstLineChars="0"/>
              <w:rPr>
                <w:rFonts w:ascii="宋体" w:hAnsi="宋体" w:cs="宋体"/>
                <w:sz w:val="21"/>
                <w:szCs w:val="21"/>
              </w:rPr>
            </w:pPr>
            <w:r>
              <w:rPr>
                <w:rFonts w:hint="eastAsia" w:ascii="宋体" w:hAnsi="宋体" w:cs="宋体"/>
                <w:sz w:val="21"/>
                <w:szCs w:val="21"/>
              </w:rPr>
              <w:t>本次业务的个人账户共济支付金额</w:t>
            </w:r>
          </w:p>
        </w:tc>
      </w:tr>
    </w:tbl>
    <w:p w14:paraId="31772EB2">
      <w:pPr>
        <w:pStyle w:val="6"/>
      </w:pPr>
      <w:r>
        <w:rPr>
          <w:rFonts w:hint="eastAsia"/>
        </w:rPr>
        <w:t>月申报查询接口调整</w:t>
      </w:r>
    </w:p>
    <w:p w14:paraId="45A4D2E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2704月结申报查询接口中出参增加个人账户支出所在地、个人账户共济支付金额、个人账户共济支出所在地、参保地医保区划。</w:t>
      </w:r>
    </w:p>
    <w:p w14:paraId="46F0FBA3">
      <w:pPr>
        <w:pStyle w:val="2"/>
        <w:spacing w:after="0"/>
        <w:ind w:firstLine="0" w:firstLineChars="0"/>
        <w:jc w:val="center"/>
        <w:rPr>
          <w:rFonts w:ascii="宋体" w:hAnsi="宋体" w:cs="宋体"/>
          <w:b/>
          <w:bCs/>
        </w:rPr>
      </w:pPr>
      <w:r>
        <w:rPr>
          <w:rFonts w:hint="eastAsia" w:ascii="宋体" w:hAnsi="宋体" w:cs="宋体"/>
          <w:b/>
          <w:bCs/>
        </w:rPr>
        <w:t>表2：改造接口清单</w:t>
      </w:r>
    </w:p>
    <w:tbl>
      <w:tblPr>
        <w:tblStyle w:val="17"/>
        <w:tblW w:w="10065" w:type="dxa"/>
        <w:jc w:val="center"/>
        <w:tblLayout w:type="fixed"/>
        <w:tblCellMar>
          <w:top w:w="0" w:type="dxa"/>
          <w:left w:w="108" w:type="dxa"/>
          <w:bottom w:w="0" w:type="dxa"/>
          <w:right w:w="108" w:type="dxa"/>
        </w:tblCellMar>
      </w:tblPr>
      <w:tblGrid>
        <w:gridCol w:w="988"/>
        <w:gridCol w:w="1134"/>
        <w:gridCol w:w="1185"/>
        <w:gridCol w:w="1270"/>
        <w:gridCol w:w="1547"/>
        <w:gridCol w:w="3941"/>
      </w:tblGrid>
      <w:tr w14:paraId="3A6110C9">
        <w:tblPrEx>
          <w:tblCellMar>
            <w:top w:w="0" w:type="dxa"/>
            <w:left w:w="108" w:type="dxa"/>
            <w:bottom w:w="0" w:type="dxa"/>
            <w:right w:w="108" w:type="dxa"/>
          </w:tblCellMar>
        </w:tblPrEx>
        <w:trPr>
          <w:jc w:val="center"/>
        </w:trPr>
        <w:tc>
          <w:tcPr>
            <w:tcW w:w="988" w:type="dxa"/>
            <w:tcBorders>
              <w:top w:val="single" w:color="000000" w:sz="4" w:space="0"/>
              <w:left w:val="single" w:color="000000" w:sz="4" w:space="0"/>
              <w:bottom w:val="single" w:color="000000" w:sz="4" w:space="0"/>
              <w:right w:val="single" w:color="000000" w:sz="4" w:space="0"/>
            </w:tcBorders>
            <w:noWrap/>
            <w:vAlign w:val="center"/>
          </w:tcPr>
          <w:p w14:paraId="2F9FB1F2">
            <w:pPr>
              <w:pStyle w:val="32"/>
              <w:rPr>
                <w:rFonts w:hint="default"/>
              </w:rPr>
            </w:pPr>
            <w:r>
              <w:t>序号</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8A0D4E1">
            <w:pPr>
              <w:pStyle w:val="32"/>
              <w:rPr>
                <w:rFonts w:hint="default"/>
              </w:rPr>
            </w:pPr>
            <w:r>
              <w:t>接口编号</w:t>
            </w:r>
          </w:p>
        </w:tc>
        <w:tc>
          <w:tcPr>
            <w:tcW w:w="1185" w:type="dxa"/>
            <w:tcBorders>
              <w:top w:val="single" w:color="000000" w:sz="4" w:space="0"/>
              <w:left w:val="single" w:color="000000" w:sz="4" w:space="0"/>
              <w:bottom w:val="single" w:color="000000" w:sz="4" w:space="0"/>
              <w:right w:val="single" w:color="000000" w:sz="4" w:space="0"/>
            </w:tcBorders>
            <w:vAlign w:val="center"/>
          </w:tcPr>
          <w:p w14:paraId="272410D3">
            <w:pPr>
              <w:pStyle w:val="32"/>
              <w:rPr>
                <w:rFonts w:hint="default"/>
              </w:rPr>
            </w:pPr>
            <w:r>
              <w:t>一级分类</w:t>
            </w:r>
          </w:p>
        </w:tc>
        <w:tc>
          <w:tcPr>
            <w:tcW w:w="1270" w:type="dxa"/>
            <w:tcBorders>
              <w:top w:val="single" w:color="000000" w:sz="4" w:space="0"/>
              <w:left w:val="single" w:color="000000" w:sz="4" w:space="0"/>
              <w:bottom w:val="single" w:color="000000" w:sz="4" w:space="0"/>
              <w:right w:val="single" w:color="000000" w:sz="4" w:space="0"/>
            </w:tcBorders>
            <w:vAlign w:val="center"/>
          </w:tcPr>
          <w:p w14:paraId="1EA8B836">
            <w:pPr>
              <w:pStyle w:val="32"/>
              <w:rPr>
                <w:rFonts w:hint="default"/>
              </w:rPr>
            </w:pPr>
            <w:r>
              <w:t>二级分类</w:t>
            </w:r>
          </w:p>
        </w:tc>
        <w:tc>
          <w:tcPr>
            <w:tcW w:w="1547" w:type="dxa"/>
            <w:tcBorders>
              <w:top w:val="single" w:color="000000" w:sz="4" w:space="0"/>
              <w:left w:val="single" w:color="000000" w:sz="4" w:space="0"/>
              <w:bottom w:val="single" w:color="000000" w:sz="4" w:space="0"/>
              <w:right w:val="single" w:color="000000" w:sz="4" w:space="0"/>
            </w:tcBorders>
            <w:vAlign w:val="center"/>
          </w:tcPr>
          <w:p w14:paraId="48C10A22">
            <w:pPr>
              <w:pStyle w:val="32"/>
              <w:rPr>
                <w:rFonts w:hint="default"/>
              </w:rPr>
            </w:pPr>
            <w:r>
              <w:t>接口名称</w:t>
            </w:r>
          </w:p>
        </w:tc>
        <w:tc>
          <w:tcPr>
            <w:tcW w:w="3941" w:type="dxa"/>
            <w:tcBorders>
              <w:top w:val="single" w:color="000000" w:sz="4" w:space="0"/>
              <w:left w:val="single" w:color="000000" w:sz="4" w:space="0"/>
              <w:bottom w:val="single" w:color="000000" w:sz="4" w:space="0"/>
              <w:right w:val="single" w:color="000000" w:sz="4" w:space="0"/>
            </w:tcBorders>
            <w:vAlign w:val="center"/>
          </w:tcPr>
          <w:p w14:paraId="23D75DB3">
            <w:pPr>
              <w:pStyle w:val="32"/>
              <w:rPr>
                <w:rFonts w:hint="default"/>
              </w:rPr>
            </w:pPr>
            <w:r>
              <w:t>描述</w:t>
            </w:r>
          </w:p>
        </w:tc>
      </w:tr>
      <w:tr w14:paraId="7DBA9896">
        <w:tblPrEx>
          <w:tblCellMar>
            <w:top w:w="0" w:type="dxa"/>
            <w:left w:w="108" w:type="dxa"/>
            <w:bottom w:w="0" w:type="dxa"/>
            <w:right w:w="108" w:type="dxa"/>
          </w:tblCellMar>
        </w:tblPrEx>
        <w:trPr>
          <w:jc w:val="center"/>
        </w:trPr>
        <w:tc>
          <w:tcPr>
            <w:tcW w:w="988" w:type="dxa"/>
            <w:tcBorders>
              <w:top w:val="single" w:color="000000" w:sz="4" w:space="0"/>
              <w:left w:val="single" w:color="000000" w:sz="4" w:space="0"/>
              <w:bottom w:val="single" w:color="000000" w:sz="4" w:space="0"/>
              <w:right w:val="single" w:color="000000" w:sz="4" w:space="0"/>
            </w:tcBorders>
            <w:noWrap/>
            <w:vAlign w:val="center"/>
          </w:tcPr>
          <w:p w14:paraId="7B45655A">
            <w:pPr>
              <w:pStyle w:val="33"/>
              <w:rPr>
                <w:rFonts w:hint="default"/>
              </w:rPr>
            </w:pPr>
            <w:r>
              <w:t>1</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319F23D">
            <w:pPr>
              <w:pStyle w:val="33"/>
              <w:rPr>
                <w:rFonts w:hint="default"/>
              </w:rPr>
            </w:pPr>
            <w:r>
              <w:t>2704</w:t>
            </w:r>
          </w:p>
        </w:tc>
        <w:tc>
          <w:tcPr>
            <w:tcW w:w="1185" w:type="dxa"/>
            <w:tcBorders>
              <w:top w:val="single" w:color="000000" w:sz="4" w:space="0"/>
              <w:left w:val="single" w:color="000000" w:sz="4" w:space="0"/>
              <w:bottom w:val="single" w:color="000000" w:sz="4" w:space="0"/>
              <w:right w:val="single" w:color="000000" w:sz="4" w:space="0"/>
            </w:tcBorders>
            <w:vAlign w:val="center"/>
          </w:tcPr>
          <w:p w14:paraId="2AD57628">
            <w:pPr>
              <w:pStyle w:val="33"/>
              <w:rPr>
                <w:rFonts w:hint="default"/>
              </w:rPr>
            </w:pPr>
            <w:r>
              <w:t>医保结算</w:t>
            </w:r>
          </w:p>
        </w:tc>
        <w:tc>
          <w:tcPr>
            <w:tcW w:w="1270" w:type="dxa"/>
            <w:tcBorders>
              <w:top w:val="single" w:color="000000" w:sz="4" w:space="0"/>
              <w:left w:val="single" w:color="000000" w:sz="4" w:space="0"/>
              <w:bottom w:val="single" w:color="000000" w:sz="4" w:space="0"/>
              <w:right w:val="single" w:color="000000" w:sz="4" w:space="0"/>
            </w:tcBorders>
            <w:vAlign w:val="center"/>
          </w:tcPr>
          <w:p w14:paraId="70A91066">
            <w:pPr>
              <w:pStyle w:val="33"/>
              <w:rPr>
                <w:rFonts w:hint="default"/>
              </w:rPr>
            </w:pPr>
            <w:r>
              <w:t>月结申报</w:t>
            </w:r>
          </w:p>
        </w:tc>
        <w:tc>
          <w:tcPr>
            <w:tcW w:w="1547" w:type="dxa"/>
            <w:tcBorders>
              <w:top w:val="single" w:color="000000" w:sz="4" w:space="0"/>
              <w:left w:val="single" w:color="000000" w:sz="4" w:space="0"/>
              <w:bottom w:val="single" w:color="000000" w:sz="4" w:space="0"/>
              <w:right w:val="single" w:color="000000" w:sz="4" w:space="0"/>
            </w:tcBorders>
            <w:vAlign w:val="center"/>
          </w:tcPr>
          <w:p w14:paraId="49B62E6A">
            <w:pPr>
              <w:pStyle w:val="33"/>
              <w:rPr>
                <w:rFonts w:hint="default"/>
              </w:rPr>
            </w:pPr>
            <w:r>
              <w:t>【2704】申报明细查询</w:t>
            </w:r>
          </w:p>
        </w:tc>
        <w:tc>
          <w:tcPr>
            <w:tcW w:w="3941" w:type="dxa"/>
            <w:tcBorders>
              <w:top w:val="single" w:color="000000" w:sz="4" w:space="0"/>
              <w:left w:val="single" w:color="000000" w:sz="4" w:space="0"/>
              <w:bottom w:val="single" w:color="000000" w:sz="4" w:space="0"/>
              <w:right w:val="single" w:color="000000" w:sz="4" w:space="0"/>
            </w:tcBorders>
            <w:vAlign w:val="center"/>
          </w:tcPr>
          <w:p w14:paraId="5581083B">
            <w:pPr>
              <w:pStyle w:val="33"/>
              <w:spacing w:line="276" w:lineRule="auto"/>
              <w:rPr>
                <w:rFonts w:hint="default"/>
              </w:rPr>
            </w:pPr>
            <w:r>
              <w:t>新增4个出参字段：</w:t>
            </w:r>
          </w:p>
          <w:p w14:paraId="0C49DAA2">
            <w:pPr>
              <w:pStyle w:val="33"/>
              <w:spacing w:line="276" w:lineRule="auto"/>
              <w:rPr>
                <w:rFonts w:hint="default"/>
              </w:rPr>
            </w:pPr>
            <w:r>
              <w:t>1、acct_mulaid_pay</w:t>
            </w:r>
            <w:r>
              <w:tab/>
            </w:r>
            <w:r>
              <w:t>个人账户共济支付金额</w:t>
            </w:r>
          </w:p>
          <w:p w14:paraId="18E80184">
            <w:pPr>
              <w:pStyle w:val="33"/>
              <w:spacing w:line="276" w:lineRule="auto"/>
              <w:rPr>
                <w:rFonts w:hint="default"/>
              </w:rPr>
            </w:pPr>
            <w:r>
              <w:t>2、acct_admdvs</w:t>
            </w:r>
            <w:r>
              <w:tab/>
            </w:r>
            <w:r>
              <w:t>个人账户支出所在地</w:t>
            </w:r>
          </w:p>
          <w:p w14:paraId="2413259C">
            <w:pPr>
              <w:pStyle w:val="33"/>
              <w:spacing w:line="276" w:lineRule="auto"/>
              <w:rPr>
                <w:rFonts w:hint="default"/>
              </w:rPr>
            </w:pPr>
            <w:r>
              <w:t>3、acct_mulaid_admdvs</w:t>
            </w:r>
            <w:r>
              <w:tab/>
            </w:r>
            <w:r>
              <w:t>个人账户共济支出所在地</w:t>
            </w:r>
          </w:p>
          <w:p w14:paraId="60A364A7">
            <w:pPr>
              <w:pStyle w:val="33"/>
              <w:spacing w:line="276" w:lineRule="auto"/>
              <w:rPr>
                <w:rFonts w:hint="default"/>
              </w:rPr>
            </w:pPr>
            <w:r>
              <w:t>4、insu_admdvs</w:t>
            </w:r>
            <w:r>
              <w:tab/>
            </w:r>
            <w:r>
              <w:t>参保地医保区划</w:t>
            </w:r>
          </w:p>
        </w:tc>
      </w:tr>
    </w:tbl>
    <w:p w14:paraId="7BC14CA3">
      <w:pPr>
        <w:pStyle w:val="5"/>
      </w:pPr>
      <w:r>
        <w:rPr>
          <w:rFonts w:hint="eastAsia"/>
        </w:rPr>
        <w:t>注意事项</w:t>
      </w:r>
    </w:p>
    <w:p w14:paraId="376F3E6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val="0"/>
          <w:bCs/>
          <w:kern w:val="0"/>
          <w:sz w:val="32"/>
          <w:szCs w:val="32"/>
          <w:lang w:val="en-US" w:eastAsia="zh-CN" w:bidi="ar-SA"/>
        </w:rPr>
      </w:pPr>
      <w:r>
        <w:rPr>
          <w:rFonts w:hint="eastAsia" w:ascii="Times New Roman" w:hAnsi="Times New Roman" w:eastAsia="仿宋_GB2312" w:cs="Times New Roman"/>
          <w:b w:val="0"/>
          <w:bCs/>
          <w:kern w:val="0"/>
          <w:sz w:val="32"/>
          <w:szCs w:val="32"/>
          <w:lang w:val="en-US" w:eastAsia="zh-CN" w:bidi="ar-SA"/>
        </w:rPr>
        <w:t>本次更改内容影响各定点医药机构结算单、发票中个人账户、个人账户共济金额的打印展示，定点医药机构需要根据本次改造内容调整结算单相关内容。</w:t>
      </w:r>
    </w:p>
    <w:sectPr>
      <w:headerReference r:id="rId7" w:type="first"/>
      <w:footerReference r:id="rId10" w:type="first"/>
      <w:headerReference r:id="rId5" w:type="default"/>
      <w:footerReference r:id="rId8" w:type="default"/>
      <w:headerReference r:id="rId6" w:type="even"/>
      <w:footerReference r:id="rId9" w:type="even"/>
      <w:pgSz w:w="11906" w:h="16838"/>
      <w:pgMar w:top="1984" w:right="1474" w:bottom="1871"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6DE33">
    <w:pPr>
      <w:pStyle w:val="15"/>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A0DEAD">
                          <w:pPr>
                            <w:pStyle w:val="1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AA0DEAD">
                    <w:pPr>
                      <w:pStyle w:val="1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47A76">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EB422">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776FF">
    <w:pPr>
      <w:pStyle w:val="1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B8482">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645B4">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5E87A9"/>
    <w:multiLevelType w:val="multilevel"/>
    <w:tmpl w:val="DE5E87A9"/>
    <w:lvl w:ilvl="0" w:tentative="0">
      <w:start w:val="1"/>
      <w:numFmt w:val="decimal"/>
      <w:pStyle w:val="4"/>
      <w:lvlText w:val="%1."/>
      <w:lvlJc w:val="left"/>
      <w:pPr>
        <w:ind w:left="432" w:hanging="432"/>
      </w:pPr>
      <w:rPr>
        <w:rFonts w:hint="default"/>
      </w:rPr>
    </w:lvl>
    <w:lvl w:ilvl="1" w:tentative="0">
      <w:start w:val="1"/>
      <w:numFmt w:val="decimal"/>
      <w:pStyle w:val="5"/>
      <w:lvlText w:val="%1.%2."/>
      <w:lvlJc w:val="left"/>
      <w:pPr>
        <w:ind w:left="575" w:hanging="575"/>
      </w:pPr>
      <w:rPr>
        <w:rFonts w:hint="default"/>
      </w:rPr>
    </w:lvl>
    <w:lvl w:ilvl="2" w:tentative="0">
      <w:start w:val="1"/>
      <w:numFmt w:val="decimal"/>
      <w:pStyle w:val="6"/>
      <w:lvlText w:val="%1.%2.%3."/>
      <w:lvlJc w:val="left"/>
      <w:pPr>
        <w:ind w:left="720" w:hanging="720"/>
      </w:pPr>
      <w:rPr>
        <w:rFonts w:hint="default"/>
      </w:rPr>
    </w:lvl>
    <w:lvl w:ilvl="3" w:tentative="0">
      <w:start w:val="1"/>
      <w:numFmt w:val="decimal"/>
      <w:pStyle w:val="7"/>
      <w:lvlText w:val="%1.%2.%3.%4."/>
      <w:lvlJc w:val="left"/>
      <w:pPr>
        <w:ind w:left="864" w:hanging="864"/>
      </w:pPr>
      <w:rPr>
        <w:rFonts w:hint="default"/>
      </w:rPr>
    </w:lvl>
    <w:lvl w:ilvl="4" w:tentative="0">
      <w:start w:val="1"/>
      <w:numFmt w:val="decimal"/>
      <w:pStyle w:val="8"/>
      <w:lvlText w:val="%1.%2.%3.%4.%5."/>
      <w:lvlJc w:val="left"/>
      <w:pPr>
        <w:ind w:left="1008" w:hanging="1008"/>
      </w:pPr>
      <w:rPr>
        <w:rFonts w:hint="default"/>
      </w:rPr>
    </w:lvl>
    <w:lvl w:ilvl="5" w:tentative="0">
      <w:start w:val="1"/>
      <w:numFmt w:val="decimal"/>
      <w:pStyle w:val="9"/>
      <w:lvlText w:val="%1.%2.%3.%4.%5.%6."/>
      <w:lvlJc w:val="left"/>
      <w:pPr>
        <w:ind w:left="1151" w:hanging="1151"/>
      </w:pPr>
      <w:rPr>
        <w:rFonts w:hint="default"/>
      </w:rPr>
    </w:lvl>
    <w:lvl w:ilvl="6" w:tentative="0">
      <w:start w:val="1"/>
      <w:numFmt w:val="decimal"/>
      <w:pStyle w:val="10"/>
      <w:lvlText w:val="%1.%2.%3.%4.%5.%6.%7."/>
      <w:lvlJc w:val="left"/>
      <w:pPr>
        <w:ind w:left="1296" w:hanging="1296"/>
      </w:pPr>
      <w:rPr>
        <w:rFonts w:hint="default"/>
      </w:rPr>
    </w:lvl>
    <w:lvl w:ilvl="7" w:tentative="0">
      <w:start w:val="1"/>
      <w:numFmt w:val="decimal"/>
      <w:pStyle w:val="11"/>
      <w:lvlText w:val="%1.%2.%3.%4.%5.%6.%7.%8."/>
      <w:lvlJc w:val="left"/>
      <w:pPr>
        <w:ind w:left="1440" w:hanging="1440"/>
      </w:pPr>
      <w:rPr>
        <w:rFonts w:hint="default"/>
      </w:rPr>
    </w:lvl>
    <w:lvl w:ilvl="8" w:tentative="0">
      <w:start w:val="1"/>
      <w:numFmt w:val="decimal"/>
      <w:pStyle w:val="12"/>
      <w:lvlText w:val="%1.%2.%3.%4.%5.%6.%7.%8.%9."/>
      <w:lvlJc w:val="left"/>
      <w:pPr>
        <w:ind w:left="1583" w:hanging="1583"/>
      </w:pPr>
      <w:rPr>
        <w:rFonts w:hint="default"/>
      </w:rPr>
    </w:lvl>
  </w:abstractNum>
  <w:abstractNum w:abstractNumId="1">
    <w:nsid w:val="5EFDAA05"/>
    <w:multiLevelType w:val="multilevel"/>
    <w:tmpl w:val="5EFDAA05"/>
    <w:lvl w:ilvl="0" w:tentative="0">
      <w:start w:val="1"/>
      <w:numFmt w:val="ideographDigital"/>
      <w:pStyle w:val="28"/>
      <w:suff w:val="space"/>
      <w:lvlText w:val="第%1章"/>
      <w:lvlJc w:val="left"/>
      <w:pPr>
        <w:ind w:left="3693" w:hanging="432"/>
      </w:pPr>
      <w:rPr>
        <w:rFonts w:hint="eastAsia"/>
      </w:rPr>
    </w:lvl>
    <w:lvl w:ilvl="1" w:tentative="0">
      <w:start w:val="1"/>
      <w:numFmt w:val="decimal"/>
      <w:pStyle w:val="26"/>
      <w:isLgl/>
      <w:lvlText w:val="%1.%2"/>
      <w:lvlJc w:val="left"/>
      <w:pPr>
        <w:tabs>
          <w:tab w:val="left" w:pos="576"/>
        </w:tabs>
        <w:ind w:left="576" w:hanging="576"/>
      </w:pPr>
      <w:rPr>
        <w:rFonts w:hint="eastAsia" w:ascii="黑体" w:hAnsi="黑体" w:eastAsia="黑体"/>
        <w:b w:val="0"/>
      </w:rPr>
    </w:lvl>
    <w:lvl w:ilvl="2" w:tentative="0">
      <w:start w:val="1"/>
      <w:numFmt w:val="decimal"/>
      <w:isLgl/>
      <w:lvlText w:val="%1.%2.%3"/>
      <w:lvlJc w:val="left"/>
      <w:pPr>
        <w:tabs>
          <w:tab w:val="left" w:pos="720"/>
        </w:tabs>
        <w:ind w:left="720" w:hanging="720"/>
      </w:pPr>
      <w:rPr>
        <w:rFonts w:hint="eastAsia" w:ascii="黑体" w:eastAsia="黑体"/>
        <w:b w:val="0"/>
        <w:sz w:val="28"/>
        <w:szCs w:val="28"/>
        <w:lang w:val="en-US"/>
      </w:rPr>
    </w:lvl>
    <w:lvl w:ilvl="3" w:tentative="0">
      <w:start w:val="1"/>
      <w:numFmt w:val="decimal"/>
      <w:isLgl/>
      <w:lvlText w:val="%1.%2.%3.%4"/>
      <w:lvlJc w:val="left"/>
      <w:pPr>
        <w:tabs>
          <w:tab w:val="left" w:pos="864"/>
        </w:tabs>
        <w:ind w:left="864" w:hanging="864"/>
      </w:pPr>
      <w:rPr>
        <w:rFonts w:hint="eastAsia" w:ascii="黑体" w:eastAsia="黑体"/>
      </w:rPr>
    </w:lvl>
    <w:lvl w:ilvl="4" w:tentative="0">
      <w:start w:val="1"/>
      <w:numFmt w:val="decimal"/>
      <w:isLgl/>
      <w:lvlText w:val="%1.%2.%3.%4.%5"/>
      <w:lvlJc w:val="left"/>
      <w:pPr>
        <w:tabs>
          <w:tab w:val="left" w:pos="1008"/>
        </w:tabs>
        <w:ind w:left="1008" w:hanging="1008"/>
      </w:pPr>
      <w:rPr>
        <w:rFonts w:hint="eastAsia"/>
      </w:rPr>
    </w:lvl>
    <w:lvl w:ilvl="5" w:tentative="0">
      <w:start w:val="1"/>
      <w:numFmt w:val="decimal"/>
      <w:isLgl/>
      <w:lvlText w:val="%1.%2.%3.%4.%5.%6"/>
      <w:lvlJc w:val="left"/>
      <w:pPr>
        <w:tabs>
          <w:tab w:val="left" w:pos="1152"/>
        </w:tabs>
        <w:ind w:left="1152" w:hanging="1152"/>
      </w:pPr>
      <w:rPr>
        <w:rFonts w:hint="eastAsia"/>
      </w:rPr>
    </w:lvl>
    <w:lvl w:ilvl="6" w:tentative="0">
      <w:start w:val="1"/>
      <w:numFmt w:val="decimal"/>
      <w:isLgl/>
      <w:lvlText w:val="%1.%2.%3.%4.%5.%6.%7"/>
      <w:lvlJc w:val="left"/>
      <w:pPr>
        <w:tabs>
          <w:tab w:val="left" w:pos="1296"/>
        </w:tabs>
        <w:ind w:left="1296" w:hanging="1296"/>
      </w:pPr>
      <w:rPr>
        <w:rFonts w:hint="eastAsia"/>
      </w:rPr>
    </w:lvl>
    <w:lvl w:ilvl="7" w:tentative="0">
      <w:start w:val="1"/>
      <w:numFmt w:val="decimal"/>
      <w:isLgl/>
      <w:lvlText w:val="%1.%2.%3.%4.%5.%6.%7.%8"/>
      <w:lvlJc w:val="left"/>
      <w:pPr>
        <w:tabs>
          <w:tab w:val="left" w:pos="1440"/>
        </w:tabs>
        <w:ind w:left="1440" w:hanging="1440"/>
      </w:pPr>
      <w:rPr>
        <w:rFonts w:hint="eastAsia"/>
      </w:rPr>
    </w:lvl>
    <w:lvl w:ilvl="8" w:tentative="0">
      <w:start w:val="1"/>
      <w:numFmt w:val="decimal"/>
      <w:isLgl/>
      <w:lvlText w:val="%1.%2.%3.%4.%5.%6.%7.%8.%9"/>
      <w:lvlJc w:val="left"/>
      <w:pPr>
        <w:tabs>
          <w:tab w:val="left" w:pos="1584"/>
        </w:tabs>
        <w:ind w:left="1584" w:hanging="158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2CFE1D11"/>
    <w:rsid w:val="00084F58"/>
    <w:rsid w:val="000F7D23"/>
    <w:rsid w:val="002155F5"/>
    <w:rsid w:val="002D31D3"/>
    <w:rsid w:val="00356E2D"/>
    <w:rsid w:val="0039634D"/>
    <w:rsid w:val="003C544B"/>
    <w:rsid w:val="0069751E"/>
    <w:rsid w:val="007A04B5"/>
    <w:rsid w:val="007A5615"/>
    <w:rsid w:val="00870C79"/>
    <w:rsid w:val="00896751"/>
    <w:rsid w:val="008C0903"/>
    <w:rsid w:val="008C0F22"/>
    <w:rsid w:val="0090777B"/>
    <w:rsid w:val="00A64715"/>
    <w:rsid w:val="00AA5939"/>
    <w:rsid w:val="00AC325C"/>
    <w:rsid w:val="00BA699C"/>
    <w:rsid w:val="00C8717B"/>
    <w:rsid w:val="00DA1AF0"/>
    <w:rsid w:val="00E13DC4"/>
    <w:rsid w:val="00E1520D"/>
    <w:rsid w:val="00EF081D"/>
    <w:rsid w:val="00F12691"/>
    <w:rsid w:val="00F33856"/>
    <w:rsid w:val="01E546BF"/>
    <w:rsid w:val="026C5777"/>
    <w:rsid w:val="0288380F"/>
    <w:rsid w:val="028C5070"/>
    <w:rsid w:val="03B7668C"/>
    <w:rsid w:val="042F2219"/>
    <w:rsid w:val="04C630A7"/>
    <w:rsid w:val="08560C30"/>
    <w:rsid w:val="09B23AB9"/>
    <w:rsid w:val="0AE20FEF"/>
    <w:rsid w:val="0CA63233"/>
    <w:rsid w:val="0CC41F2E"/>
    <w:rsid w:val="0D9F4AC8"/>
    <w:rsid w:val="0EBA407A"/>
    <w:rsid w:val="108E3548"/>
    <w:rsid w:val="10BC5A74"/>
    <w:rsid w:val="11CD3C45"/>
    <w:rsid w:val="13201BEB"/>
    <w:rsid w:val="135061D6"/>
    <w:rsid w:val="15CB6D6F"/>
    <w:rsid w:val="165D3AAA"/>
    <w:rsid w:val="16D2144F"/>
    <w:rsid w:val="17621F96"/>
    <w:rsid w:val="17E83804"/>
    <w:rsid w:val="17F1436E"/>
    <w:rsid w:val="1809691D"/>
    <w:rsid w:val="182F0552"/>
    <w:rsid w:val="18EE3F76"/>
    <w:rsid w:val="195A572B"/>
    <w:rsid w:val="1AA068BA"/>
    <w:rsid w:val="1B707406"/>
    <w:rsid w:val="1C4C7258"/>
    <w:rsid w:val="1C735482"/>
    <w:rsid w:val="1D0C7BED"/>
    <w:rsid w:val="1D56695C"/>
    <w:rsid w:val="1D622D02"/>
    <w:rsid w:val="1E022C42"/>
    <w:rsid w:val="1E4E4BEB"/>
    <w:rsid w:val="1EC17A5A"/>
    <w:rsid w:val="20397D96"/>
    <w:rsid w:val="215B112F"/>
    <w:rsid w:val="215D2317"/>
    <w:rsid w:val="22051C38"/>
    <w:rsid w:val="222404B4"/>
    <w:rsid w:val="22821525"/>
    <w:rsid w:val="230D5405"/>
    <w:rsid w:val="23403DED"/>
    <w:rsid w:val="23490170"/>
    <w:rsid w:val="243A1085"/>
    <w:rsid w:val="24D47FE8"/>
    <w:rsid w:val="24EF672B"/>
    <w:rsid w:val="254F092E"/>
    <w:rsid w:val="25740E61"/>
    <w:rsid w:val="25813465"/>
    <w:rsid w:val="277814B7"/>
    <w:rsid w:val="289964F1"/>
    <w:rsid w:val="29090661"/>
    <w:rsid w:val="29A42E73"/>
    <w:rsid w:val="2A6368FD"/>
    <w:rsid w:val="2CFE1D11"/>
    <w:rsid w:val="2E4D0DCE"/>
    <w:rsid w:val="2F060E4D"/>
    <w:rsid w:val="2F8D1F91"/>
    <w:rsid w:val="32CC3E41"/>
    <w:rsid w:val="33A11439"/>
    <w:rsid w:val="34052652"/>
    <w:rsid w:val="353013CA"/>
    <w:rsid w:val="355F7486"/>
    <w:rsid w:val="36DC7680"/>
    <w:rsid w:val="37664C9D"/>
    <w:rsid w:val="376837D6"/>
    <w:rsid w:val="38377EDA"/>
    <w:rsid w:val="38A8360E"/>
    <w:rsid w:val="3CB93B55"/>
    <w:rsid w:val="3CD651AF"/>
    <w:rsid w:val="3D5B3B2C"/>
    <w:rsid w:val="3D792753"/>
    <w:rsid w:val="3E0B3DF0"/>
    <w:rsid w:val="3E67731A"/>
    <w:rsid w:val="3EBA58FE"/>
    <w:rsid w:val="3F2F5E96"/>
    <w:rsid w:val="3FBA529D"/>
    <w:rsid w:val="40580D4D"/>
    <w:rsid w:val="40932997"/>
    <w:rsid w:val="409407D8"/>
    <w:rsid w:val="41557460"/>
    <w:rsid w:val="42612634"/>
    <w:rsid w:val="42B6085C"/>
    <w:rsid w:val="438D5A63"/>
    <w:rsid w:val="45D073A4"/>
    <w:rsid w:val="47791FAF"/>
    <w:rsid w:val="4ADB5E1D"/>
    <w:rsid w:val="4BAE2965"/>
    <w:rsid w:val="4BCA5A77"/>
    <w:rsid w:val="4BDF5D22"/>
    <w:rsid w:val="4C73767A"/>
    <w:rsid w:val="4E383F26"/>
    <w:rsid w:val="4E7C382A"/>
    <w:rsid w:val="4FB75AFA"/>
    <w:rsid w:val="50885238"/>
    <w:rsid w:val="50E923FF"/>
    <w:rsid w:val="52B4244C"/>
    <w:rsid w:val="531C5216"/>
    <w:rsid w:val="539579A4"/>
    <w:rsid w:val="53A768EC"/>
    <w:rsid w:val="53B60D52"/>
    <w:rsid w:val="542A0F01"/>
    <w:rsid w:val="547370AA"/>
    <w:rsid w:val="556D6EE3"/>
    <w:rsid w:val="55DA0833"/>
    <w:rsid w:val="56151B01"/>
    <w:rsid w:val="566C751E"/>
    <w:rsid w:val="56F46626"/>
    <w:rsid w:val="576E3DB3"/>
    <w:rsid w:val="57723A5A"/>
    <w:rsid w:val="59763131"/>
    <w:rsid w:val="5D4F6E60"/>
    <w:rsid w:val="5F487F94"/>
    <w:rsid w:val="60DF746E"/>
    <w:rsid w:val="62053A53"/>
    <w:rsid w:val="62095D9E"/>
    <w:rsid w:val="6228748F"/>
    <w:rsid w:val="62C21E18"/>
    <w:rsid w:val="63155720"/>
    <w:rsid w:val="632C126E"/>
    <w:rsid w:val="63871C62"/>
    <w:rsid w:val="646661B2"/>
    <w:rsid w:val="659F5F6D"/>
    <w:rsid w:val="67434D59"/>
    <w:rsid w:val="676E1519"/>
    <w:rsid w:val="67E6592E"/>
    <w:rsid w:val="68DA7F7F"/>
    <w:rsid w:val="694633D0"/>
    <w:rsid w:val="695100B2"/>
    <w:rsid w:val="69915545"/>
    <w:rsid w:val="6A4125D2"/>
    <w:rsid w:val="6A9C42AC"/>
    <w:rsid w:val="6B1E4AE9"/>
    <w:rsid w:val="6B9337F0"/>
    <w:rsid w:val="6CB96691"/>
    <w:rsid w:val="6F490EAF"/>
    <w:rsid w:val="71CA061B"/>
    <w:rsid w:val="71CE0917"/>
    <w:rsid w:val="721957C6"/>
    <w:rsid w:val="731918AE"/>
    <w:rsid w:val="73F13D0D"/>
    <w:rsid w:val="74AC4824"/>
    <w:rsid w:val="74BF332D"/>
    <w:rsid w:val="76216262"/>
    <w:rsid w:val="767731DA"/>
    <w:rsid w:val="783B644D"/>
    <w:rsid w:val="788022E3"/>
    <w:rsid w:val="78E537C8"/>
    <w:rsid w:val="797E4DB2"/>
    <w:rsid w:val="799C149C"/>
    <w:rsid w:val="7AC8651A"/>
    <w:rsid w:val="7ACA49A1"/>
    <w:rsid w:val="7B9A2B57"/>
    <w:rsid w:val="7BCF1CA0"/>
    <w:rsid w:val="7C1D34DF"/>
    <w:rsid w:val="7F6C1A46"/>
    <w:rsid w:val="7FB55B05"/>
    <w:rsid w:val="EFCE3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0" w:firstLineChars="200"/>
      <w:jc w:val="both"/>
    </w:pPr>
    <w:rPr>
      <w:rFonts w:ascii="Calibri" w:hAnsi="Calibri" w:eastAsia="宋体" w:cs="Times New Roman"/>
      <w:kern w:val="2"/>
      <w:sz w:val="24"/>
      <w:szCs w:val="24"/>
      <w:lang w:val="en-US" w:eastAsia="zh-CN" w:bidi="ar-SA"/>
    </w:rPr>
  </w:style>
  <w:style w:type="paragraph" w:styleId="4">
    <w:name w:val="heading 1"/>
    <w:basedOn w:val="1"/>
    <w:next w:val="1"/>
    <w:link w:val="24"/>
    <w:qFormat/>
    <w:uiPriority w:val="0"/>
    <w:pPr>
      <w:keepNext/>
      <w:keepLines/>
      <w:numPr>
        <w:ilvl w:val="0"/>
        <w:numId w:val="1"/>
      </w:numPr>
      <w:tabs>
        <w:tab w:val="left" w:pos="432"/>
      </w:tabs>
      <w:spacing w:before="60" w:after="60" w:line="480" w:lineRule="auto"/>
      <w:ind w:firstLine="0" w:firstLineChars="0"/>
      <w:jc w:val="left"/>
      <w:outlineLvl w:val="0"/>
    </w:pPr>
    <w:rPr>
      <w:rFonts w:ascii="Times New Roman" w:hAnsi="Times New Roman" w:eastAsia="黑体" w:cstheme="minorBidi"/>
      <w:bCs/>
      <w:kern w:val="44"/>
      <w:sz w:val="36"/>
      <w:szCs w:val="44"/>
    </w:rPr>
  </w:style>
  <w:style w:type="paragraph" w:styleId="5">
    <w:name w:val="heading 2"/>
    <w:basedOn w:val="1"/>
    <w:next w:val="1"/>
    <w:link w:val="20"/>
    <w:unhideWhenUsed/>
    <w:qFormat/>
    <w:uiPriority w:val="0"/>
    <w:pPr>
      <w:keepNext/>
      <w:keepLines/>
      <w:numPr>
        <w:ilvl w:val="1"/>
        <w:numId w:val="1"/>
      </w:numPr>
      <w:spacing w:line="480" w:lineRule="auto"/>
      <w:ind w:firstLine="0" w:firstLineChars="0"/>
      <w:outlineLvl w:val="1"/>
    </w:pPr>
    <w:rPr>
      <w:rFonts w:ascii="Arial" w:hAnsi="Arial" w:eastAsia="黑体" w:cstheme="minorBidi"/>
      <w:sz w:val="32"/>
    </w:rPr>
  </w:style>
  <w:style w:type="paragraph" w:styleId="6">
    <w:name w:val="heading 3"/>
    <w:basedOn w:val="1"/>
    <w:next w:val="1"/>
    <w:link w:val="22"/>
    <w:unhideWhenUsed/>
    <w:qFormat/>
    <w:uiPriority w:val="0"/>
    <w:pPr>
      <w:keepNext/>
      <w:keepLines/>
      <w:numPr>
        <w:ilvl w:val="2"/>
        <w:numId w:val="1"/>
      </w:numPr>
      <w:tabs>
        <w:tab w:val="left" w:pos="432"/>
        <w:tab w:val="left" w:pos="720"/>
      </w:tabs>
      <w:spacing w:line="480" w:lineRule="auto"/>
      <w:ind w:firstLine="0" w:firstLineChars="0"/>
      <w:outlineLvl w:val="2"/>
    </w:pPr>
    <w:rPr>
      <w:rFonts w:ascii="Times New Roman" w:hAnsi="Times New Roman" w:eastAsia="黑体" w:cstheme="minorBidi"/>
      <w:bCs/>
      <w:sz w:val="28"/>
      <w:szCs w:val="32"/>
    </w:rPr>
  </w:style>
  <w:style w:type="paragraph" w:styleId="7">
    <w:name w:val="heading 4"/>
    <w:basedOn w:val="1"/>
    <w:next w:val="1"/>
    <w:link w:val="23"/>
    <w:semiHidden/>
    <w:unhideWhenUsed/>
    <w:qFormat/>
    <w:uiPriority w:val="0"/>
    <w:pPr>
      <w:keepNext/>
      <w:keepLines/>
      <w:numPr>
        <w:ilvl w:val="3"/>
        <w:numId w:val="1"/>
      </w:numPr>
      <w:tabs>
        <w:tab w:val="left" w:pos="864"/>
      </w:tabs>
      <w:spacing w:line="480" w:lineRule="auto"/>
      <w:ind w:firstLine="0" w:firstLineChars="0"/>
      <w:outlineLvl w:val="3"/>
    </w:pPr>
    <w:rPr>
      <w:rFonts w:ascii="Times New Roman" w:hAnsi="Times New Roman" w:cstheme="majorBidi"/>
      <w:bCs/>
      <w:szCs w:val="28"/>
    </w:rPr>
  </w:style>
  <w:style w:type="paragraph" w:styleId="8">
    <w:name w:val="heading 5"/>
    <w:basedOn w:val="1"/>
    <w:next w:val="1"/>
    <w:link w:val="21"/>
    <w:semiHidden/>
    <w:unhideWhenUsed/>
    <w:qFormat/>
    <w:uiPriority w:val="0"/>
    <w:pPr>
      <w:keepNext/>
      <w:keepLines/>
      <w:numPr>
        <w:ilvl w:val="4"/>
        <w:numId w:val="1"/>
      </w:numPr>
      <w:tabs>
        <w:tab w:val="left" w:pos="1008"/>
      </w:tabs>
      <w:spacing w:line="480" w:lineRule="auto"/>
      <w:ind w:firstLine="0" w:firstLineChars="0"/>
      <w:outlineLvl w:val="4"/>
    </w:pPr>
    <w:rPr>
      <w:rFonts w:ascii="Times New Roman" w:hAnsi="Times New Roman" w:eastAsia="黑体"/>
    </w:rPr>
  </w:style>
  <w:style w:type="paragraph" w:styleId="9">
    <w:name w:val="heading 6"/>
    <w:basedOn w:val="1"/>
    <w:next w:val="1"/>
    <w:link w:val="25"/>
    <w:semiHidden/>
    <w:unhideWhenUsed/>
    <w:qFormat/>
    <w:uiPriority w:val="0"/>
    <w:pPr>
      <w:keepNext/>
      <w:keepLines/>
      <w:numPr>
        <w:ilvl w:val="5"/>
        <w:numId w:val="1"/>
      </w:numPr>
      <w:tabs>
        <w:tab w:val="left" w:pos="1152"/>
      </w:tabs>
      <w:spacing w:line="480" w:lineRule="auto"/>
      <w:ind w:firstLine="0" w:firstLineChars="0"/>
      <w:outlineLvl w:val="5"/>
    </w:pPr>
    <w:rPr>
      <w:rFonts w:ascii="Cambria" w:hAnsi="Cambria"/>
      <w:bCs/>
      <w:color w:val="000000"/>
    </w:rPr>
  </w:style>
  <w:style w:type="paragraph" w:styleId="10">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rPr>
  </w:style>
  <w:style w:type="paragraph" w:styleId="11">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rPr>
  </w:style>
  <w:style w:type="paragraph" w:styleId="12">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13">
    <w:name w:val="annotation text"/>
    <w:basedOn w:val="1"/>
    <w:qFormat/>
    <w:uiPriority w:val="0"/>
    <w:pPr>
      <w:jc w:val="left"/>
    </w:pPr>
  </w:style>
  <w:style w:type="paragraph" w:styleId="14">
    <w:name w:val="toc 3"/>
    <w:basedOn w:val="1"/>
    <w:next w:val="1"/>
    <w:qFormat/>
    <w:uiPriority w:val="0"/>
    <w:pPr>
      <w:ind w:left="840" w:leftChars="400"/>
    </w:pPr>
    <w:rPr>
      <w:rFonts w:asciiTheme="minorHAnsi" w:hAnsiTheme="minorHAnsi"/>
      <w:szCs w:val="21"/>
    </w:rPr>
  </w:style>
  <w:style w:type="paragraph" w:styleId="15">
    <w:name w:val="footer"/>
    <w:basedOn w:val="1"/>
    <w:unhideWhenUsed/>
    <w:qFormat/>
    <w:uiPriority w:val="99"/>
    <w:pPr>
      <w:tabs>
        <w:tab w:val="center" w:pos="4153"/>
        <w:tab w:val="right" w:pos="8306"/>
      </w:tabs>
      <w:snapToGrid w:val="0"/>
      <w:jc w:val="left"/>
    </w:pPr>
    <w:rPr>
      <w:sz w:val="18"/>
    </w:rPr>
  </w:style>
  <w:style w:type="paragraph" w:styleId="16">
    <w:name w:val="header"/>
    <w:basedOn w:val="1"/>
    <w:link w:val="34"/>
    <w:qFormat/>
    <w:uiPriority w:val="0"/>
    <w:pPr>
      <w:tabs>
        <w:tab w:val="center" w:pos="4153"/>
        <w:tab w:val="right" w:pos="8306"/>
      </w:tabs>
      <w:snapToGrid w:val="0"/>
      <w:spacing w:line="240" w:lineRule="auto"/>
      <w:jc w:val="center"/>
    </w:pPr>
    <w:rPr>
      <w:sz w:val="18"/>
      <w:szCs w:val="18"/>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2 字符"/>
    <w:link w:val="5"/>
    <w:qFormat/>
    <w:uiPriority w:val="0"/>
    <w:rPr>
      <w:rFonts w:ascii="Arial" w:hAnsi="Arial" w:eastAsia="黑体" w:cstheme="minorBidi"/>
      <w:bCs/>
      <w:kern w:val="2"/>
      <w:sz w:val="32"/>
      <w:szCs w:val="32"/>
    </w:rPr>
  </w:style>
  <w:style w:type="character" w:customStyle="1" w:styleId="21">
    <w:name w:val="标题 5 字符"/>
    <w:link w:val="8"/>
    <w:qFormat/>
    <w:uiPriority w:val="99"/>
    <w:rPr>
      <w:rFonts w:ascii="Times New Roman" w:hAnsi="Times New Roman" w:eastAsia="黑体" w:cs="Times New Roman"/>
      <w:bCs/>
      <w:color w:val="000000"/>
      <w:sz w:val="24"/>
    </w:rPr>
  </w:style>
  <w:style w:type="character" w:customStyle="1" w:styleId="22">
    <w:name w:val="标题 3 字符"/>
    <w:link w:val="6"/>
    <w:qFormat/>
    <w:uiPriority w:val="99"/>
    <w:rPr>
      <w:rFonts w:ascii="Times New Roman" w:hAnsi="Times New Roman" w:eastAsia="宋体" w:cstheme="minorBidi"/>
      <w:bCs/>
      <w:kern w:val="2"/>
      <w:sz w:val="28"/>
      <w:szCs w:val="32"/>
    </w:rPr>
  </w:style>
  <w:style w:type="character" w:customStyle="1" w:styleId="23">
    <w:name w:val="标题 4 字符"/>
    <w:link w:val="7"/>
    <w:qFormat/>
    <w:uiPriority w:val="99"/>
    <w:rPr>
      <w:rFonts w:ascii="Times New Roman" w:hAnsi="Times New Roman" w:eastAsia="宋体" w:cstheme="minorBidi"/>
      <w:bCs/>
      <w:kern w:val="2"/>
      <w:sz w:val="24"/>
      <w:szCs w:val="28"/>
    </w:rPr>
  </w:style>
  <w:style w:type="character" w:customStyle="1" w:styleId="24">
    <w:name w:val="标题 1 字符"/>
    <w:link w:val="4"/>
    <w:qFormat/>
    <w:uiPriority w:val="9"/>
    <w:rPr>
      <w:rFonts w:ascii="Times New Roman" w:hAnsi="Times New Roman" w:eastAsia="黑体" w:cstheme="minorBidi"/>
      <w:bCs/>
      <w:kern w:val="44"/>
      <w:sz w:val="36"/>
      <w:szCs w:val="44"/>
    </w:rPr>
  </w:style>
  <w:style w:type="character" w:customStyle="1" w:styleId="25">
    <w:name w:val="标题 6 字符"/>
    <w:link w:val="9"/>
    <w:qFormat/>
    <w:uiPriority w:val="0"/>
    <w:rPr>
      <w:rFonts w:ascii="Cambria" w:hAnsi="Cambria" w:eastAsia="宋体" w:cs="Times New Roman"/>
      <w:bCs/>
      <w:color w:val="000000"/>
      <w:sz w:val="24"/>
    </w:rPr>
  </w:style>
  <w:style w:type="paragraph" w:customStyle="1" w:styleId="26">
    <w:name w:val="0427-2-2"/>
    <w:basedOn w:val="1"/>
    <w:link w:val="27"/>
    <w:qFormat/>
    <w:uiPriority w:val="0"/>
    <w:pPr>
      <w:keepNext/>
      <w:keepLines/>
      <w:numPr>
        <w:ilvl w:val="1"/>
        <w:numId w:val="2"/>
      </w:numPr>
      <w:spacing w:line="480" w:lineRule="auto"/>
      <w:ind w:firstLine="0" w:firstLineChars="0"/>
      <w:outlineLvl w:val="1"/>
    </w:pPr>
    <w:rPr>
      <w:rFonts w:ascii="等线 Light" w:hAnsi="等线 Light" w:eastAsia="黑体"/>
      <w:bCs/>
      <w:sz w:val="32"/>
      <w:szCs w:val="32"/>
    </w:rPr>
  </w:style>
  <w:style w:type="character" w:customStyle="1" w:styleId="27">
    <w:name w:val="0427-2-2 字符"/>
    <w:link w:val="26"/>
    <w:qFormat/>
    <w:uiPriority w:val="0"/>
    <w:rPr>
      <w:rFonts w:ascii="等线 Light" w:hAnsi="等线 Light" w:eastAsia="黑体"/>
      <w:bCs/>
      <w:kern w:val="2"/>
      <w:sz w:val="32"/>
      <w:szCs w:val="32"/>
    </w:rPr>
  </w:style>
  <w:style w:type="paragraph" w:customStyle="1" w:styleId="28">
    <w:name w:val="0427-1-2"/>
    <w:basedOn w:val="1"/>
    <w:link w:val="29"/>
    <w:qFormat/>
    <w:uiPriority w:val="0"/>
    <w:pPr>
      <w:keepNext/>
      <w:keepLines/>
      <w:numPr>
        <w:ilvl w:val="0"/>
        <w:numId w:val="2"/>
      </w:numPr>
      <w:tabs>
        <w:tab w:val="left" w:pos="3693"/>
      </w:tabs>
      <w:spacing w:line="480" w:lineRule="auto"/>
      <w:ind w:firstLine="0" w:firstLineChars="0"/>
      <w:jc w:val="center"/>
      <w:outlineLvl w:val="0"/>
    </w:pPr>
    <w:rPr>
      <w:rFonts w:ascii="Times New Roman" w:hAnsi="Times New Roman" w:eastAsia="黑体"/>
      <w:bCs/>
      <w:kern w:val="44"/>
      <w:sz w:val="36"/>
      <w:szCs w:val="44"/>
    </w:rPr>
  </w:style>
  <w:style w:type="character" w:customStyle="1" w:styleId="29">
    <w:name w:val="0427-1-2 字符"/>
    <w:link w:val="28"/>
    <w:qFormat/>
    <w:uiPriority w:val="0"/>
    <w:rPr>
      <w:rFonts w:ascii="Times New Roman" w:hAnsi="Times New Roman" w:eastAsia="黑体"/>
      <w:bCs/>
      <w:kern w:val="44"/>
      <w:sz w:val="36"/>
      <w:szCs w:val="44"/>
    </w:rPr>
  </w:style>
  <w:style w:type="character" w:customStyle="1" w:styleId="30">
    <w:name w:val="font11"/>
    <w:basedOn w:val="19"/>
    <w:qFormat/>
    <w:uiPriority w:val="0"/>
    <w:rPr>
      <w:rFonts w:ascii="仿宋_GB2312" w:eastAsia="仿宋_GB2312" w:cs="仿宋_GB2312"/>
      <w:b/>
      <w:color w:val="000000"/>
      <w:sz w:val="24"/>
      <w:szCs w:val="24"/>
      <w:u w:val="none"/>
    </w:rPr>
  </w:style>
  <w:style w:type="character" w:customStyle="1" w:styleId="31">
    <w:name w:val="font21"/>
    <w:qFormat/>
    <w:uiPriority w:val="0"/>
    <w:rPr>
      <w:rFonts w:hint="default" w:ascii="Wingdings 2" w:hAnsi="Wingdings 2" w:eastAsia="Wingdings 2" w:cs="Wingdings 2"/>
      <w:color w:val="000000"/>
      <w:sz w:val="24"/>
      <w:szCs w:val="24"/>
      <w:u w:val="none"/>
    </w:rPr>
  </w:style>
  <w:style w:type="paragraph" w:customStyle="1" w:styleId="32">
    <w:name w:val="表头"/>
    <w:basedOn w:val="1"/>
    <w:qFormat/>
    <w:uiPriority w:val="0"/>
    <w:pPr>
      <w:widowControl/>
      <w:spacing w:line="480" w:lineRule="auto"/>
      <w:ind w:firstLine="0" w:firstLineChars="0"/>
      <w:jc w:val="center"/>
      <w:textAlignment w:val="center"/>
    </w:pPr>
    <w:rPr>
      <w:rFonts w:hint="eastAsia" w:ascii="宋体" w:hAnsi="宋体"/>
      <w:b/>
      <w:bCs/>
      <w:color w:val="000000"/>
      <w:kern w:val="0"/>
      <w:sz w:val="21"/>
      <w:szCs w:val="21"/>
    </w:rPr>
  </w:style>
  <w:style w:type="paragraph" w:customStyle="1" w:styleId="33">
    <w:name w:val="表格字体"/>
    <w:basedOn w:val="1"/>
    <w:qFormat/>
    <w:uiPriority w:val="0"/>
    <w:pPr>
      <w:widowControl/>
      <w:ind w:firstLine="0" w:firstLineChars="0"/>
      <w:jc w:val="left"/>
      <w:textAlignment w:val="center"/>
    </w:pPr>
    <w:rPr>
      <w:rFonts w:hint="eastAsia" w:ascii="宋体" w:hAnsi="宋体"/>
      <w:color w:val="000000"/>
      <w:kern w:val="0"/>
      <w:sz w:val="21"/>
      <w:szCs w:val="21"/>
    </w:rPr>
  </w:style>
  <w:style w:type="character" w:customStyle="1" w:styleId="34">
    <w:name w:val="页眉 字符"/>
    <w:basedOn w:val="19"/>
    <w:link w:val="16"/>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1815</Words>
  <Characters>2001</Characters>
  <Lines>25</Lines>
  <Paragraphs>7</Paragraphs>
  <TotalTime>6</TotalTime>
  <ScaleCrop>false</ScaleCrop>
  <LinksUpToDate>false</LinksUpToDate>
  <CharactersWithSpaces>2008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2024-07-12T02:08:00Z</dcterms:created>
  <dc:creator>powersi</dc:creator>
  <cp:lastModifiedBy>黄小贵</cp:lastModifiedBy>
  <cp:lastPrinted>2024-12-01T01:10:59Z</cp:lastPrinted>
  <dcterms:modified xsi:type="dcterms:W3CDTF">2024-12-01T01:11:36Z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5E9DAE0AE46440F49724B7703D7BE57F_13</vt:lpwstr>
  </property>
</Properties>
</file>